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8.png" ContentType="image/png"/>
  <Override PartName="/word/media/rId36.png" ContentType="image/png"/>
  <Override PartName="/word/media/rId95.png" ContentType="image/png"/>
  <Override PartName="/word/media/rId41.png" ContentType="image/png"/>
  <Override PartName="/word/media/rId117.png" ContentType="image/png"/>
  <Override PartName="/word/media/rId138.png" ContentType="image/png"/>
  <Override PartName="/word/media/rId32.png" ContentType="image/png"/>
  <Override PartName="/word/media/rId112.png" ContentType="image/png"/>
  <Override PartName="/word/media/rId144.png" ContentType="image/png"/>
  <Override PartName="/word/media/rId99.png" ContentType="image/png"/>
  <Override PartName="/word/media/rId103.png" ContentType="image/png"/>
  <Override PartName="/word/media/rId134.png" ContentType="image/png"/>
  <Override PartName="/word/media/rId130.png" ContentType="image/png"/>
  <Override PartName="/word/media/rId108.png" ContentType="image/png"/>
  <Override PartName="/word/media/rId149.png" ContentType="image/png"/>
  <Override PartName="/word/media/rId125.png" ContentType="image/png"/>
  <Override PartName="/word/media/rId163.png" ContentType="image/png"/>
  <Override PartName="/word/media/rId158.png" ContentType="image/png"/>
  <Override PartName="/word/media/rId84.png" ContentType="image/png"/>
  <Override PartName="/word/media/rId121.png" ContentType="image/png"/>
  <Override PartName="/word/media/rId51.png" ContentType="image/png"/>
  <Override PartName="/word/media/rId56.png" ContentType="image/png"/>
  <Override PartName="/word/media/rId62.png" ContentType="image/png"/>
  <Override PartName="/word/media/rId66.png" ContentType="image/png"/>
  <Override PartName="/word/media/image29.png" ContentType="image/png"/>
  <Override PartName="/word/media/image1.png" ContentType="image/png"/>
  <Override PartName="/word/media/image2.png" ContentType="image/png"/>
  <Override PartName="/word/media/image3.jpg" ContentType="image/jpeg"/>
  <Override PartName="/word/media/image4.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Override PartName="/word/media/image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Bulletin</w:t>
      </w:r>
      <w:r>
        <w:t xml:space="preserve"> </w:t>
      </w:r>
      <w:r>
        <w:t xml:space="preserve">mensuel</w:t>
      </w:r>
      <w:r>
        <w:t xml:space="preserve"> </w:t>
      </w:r>
      <w:r>
        <w:t xml:space="preserve">sur</w:t>
      </w:r>
      <w:r>
        <w:t xml:space="preserve"> </w:t>
      </w:r>
      <w:r>
        <w:t xml:space="preserve">la</w:t>
      </w:r>
      <w:r>
        <w:t xml:space="preserve"> </w:t>
      </w:r>
      <w:r>
        <w:t xml:space="preserve">vaccination</w:t>
      </w:r>
      <w:r>
        <w:t xml:space="preserve"> </w:t>
      </w:r>
      <w:r>
        <w:t xml:space="preserve">et</w:t>
      </w:r>
      <w:r>
        <w:t xml:space="preserve"> </w:t>
      </w:r>
      <w:r>
        <w:t xml:space="preserve">la</w:t>
      </w:r>
      <w:r>
        <w:t xml:space="preserve"> </w:t>
      </w:r>
      <w:r>
        <w:t xml:space="preserve">surveillance</w:t>
      </w:r>
      <w:r>
        <w:t xml:space="preserve"> </w:t>
      </w:r>
      <w:r>
        <w:t xml:space="preserve">des</w:t>
      </w:r>
      <w:r>
        <w:t xml:space="preserve"> </w:t>
      </w:r>
      <w:r>
        <w:t xml:space="preserve">maladies</w:t>
      </w:r>
      <w:r>
        <w:t xml:space="preserve"> </w:t>
      </w:r>
      <w:r>
        <w:t xml:space="preserve">à</w:t>
      </w:r>
      <w:r>
        <w:t xml:space="preserve"> </w:t>
      </w:r>
      <w:r>
        <w:t xml:space="preserve">prévention</w:t>
      </w:r>
      <w:r>
        <w:t xml:space="preserve"> </w:t>
      </w:r>
      <w:r>
        <w:t xml:space="preserve">vaccinale</w:t>
      </w:r>
      <w:r>
        <w:t xml:space="preserve"> </w:t>
      </w:r>
      <w:r>
        <w:t xml:space="preserve">en</w:t>
      </w:r>
      <w:r>
        <w:t xml:space="preserve"> </w:t>
      </w:r>
      <w:r>
        <w:t xml:space="preserve">Afrique</w:t>
      </w:r>
      <w:r>
        <w:t xml:space="preserve"> </w:t>
      </w:r>
      <w:r>
        <w:t xml:space="preserve">centrale</w:t>
      </w:r>
    </w:p>
    <w:p>
      <w:pPr>
        <w:pStyle w:val="Subtitle"/>
      </w:pPr>
      <w:r>
        <w:t xml:space="preserve">Mois</w:t>
      </w:r>
      <w:r>
        <w:t xml:space="preserve"> </w:t>
      </w:r>
      <w:r>
        <w:t xml:space="preserve">de</w:t>
      </w:r>
      <w:r>
        <w:t xml:space="preserve"> </w:t>
      </w:r>
      <w:r>
        <w:t xml:space="preserve">Juillet</w:t>
      </w:r>
      <w:r>
        <w:t xml:space="preserve"> </w:t>
      </w:r>
      <w:r>
        <w:t xml:space="preserve">2024</w:t>
      </w:r>
    </w:p>
    <w:p>
      <w:pPr>
        <w:pStyle w:val="Author"/>
      </w:pPr>
      <w:r>
        <w:t xml:space="preserve">Équipe</w:t>
      </w:r>
      <w:r>
        <w:t xml:space="preserve"> </w:t>
      </w:r>
      <w:r>
        <w:t xml:space="preserve">d’Appui</w:t>
      </w:r>
      <w:r>
        <w:t xml:space="preserve"> </w:t>
      </w:r>
      <w:r>
        <w:t xml:space="preserve">Technique</w:t>
      </w:r>
      <w:r>
        <w:t xml:space="preserve"> </w:t>
      </w:r>
      <w:r>
        <w:t xml:space="preserve">Interpays</w:t>
      </w:r>
      <w:r>
        <w:t xml:space="preserve"> </w:t>
      </w:r>
      <w:r>
        <w:t xml:space="preserve">du</w:t>
      </w:r>
      <w:r>
        <w:t xml:space="preserve"> </w:t>
      </w:r>
      <w:r>
        <w:t xml:space="preserve">Bloc</w:t>
      </w:r>
      <w:r>
        <w:t xml:space="preserve"> </w:t>
      </w:r>
      <w:r>
        <w:t xml:space="preserve">Centre</w:t>
      </w:r>
    </w:p>
    <w:sdt>
      <w:sdtPr>
        <w:docPartObj>
          <w:docPartGallery w:val="Table of Contents"/>
          <w:docPartUnique/>
        </w:docPartObj>
      </w:sdtPr>
      <w:sdtContent>
        <w:p>
          <w:pPr>
            <w:pStyle w:val="TOCHeading"/>
          </w:pPr>
          <w:r>
            <w:t xml:space="preserve">Sommaire</w:t>
          </w:r>
        </w:p>
        <w:p>
          <w:r>
            <w:fldChar w:fldCharType="begin" w:dirty="true"/>
            <w:instrText xml:space="preserve">TOC \o "1-2" \h \z \u</w:instrText>
            <w:fldChar w:fldCharType="separate"/>
            <w:fldChar w:fldCharType="end"/>
          </w:r>
        </w:p>
      </w:sdtContent>
    </w:sdt>
    <w:p>
      <w:r>
        <w:br w:type="page"/>
      </w:r>
    </w:p>
    <w:bookmarkStart w:id="20" w:name="acronymes"/>
    <w:p>
      <w:pPr>
        <w:pStyle w:val="Heading2"/>
      </w:pPr>
      <w:r>
        <w:t xml:space="preserve">1 Acronymes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43"/>
        <w:gridCol w:w="10872"/>
      </w:tblGrid>
      <w:tr>
        <w:trPr>
          <w:trHeight w:val="4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Acronymes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Definitions</w:t>
            </w:r>
          </w:p>
        </w:tc>
      </w:tr>
      <w:tr>
        <w:trPr>
          <w:trHeight w:val="46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BCG</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Bacille de Calmette et Guérin (vaccin contre la tuberculose)</w:t>
            </w:r>
          </w:p>
        </w:tc>
      </w:tr>
      <w:tr>
        <w:trPr>
          <w:trHeight w:val="487"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DTC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Diphtérie, Tétanos, Coqueluche</w:t>
            </w:r>
          </w:p>
        </w:tc>
      </w:tr>
      <w:tr>
        <w:trPr>
          <w:trHeight w:val="48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HepB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l'Hépatite B</w:t>
            </w:r>
          </w:p>
        </w:tc>
      </w:tr>
      <w:tr>
        <w:trPr>
          <w:trHeight w:val="53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IST-CA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Inter-Country Support Team for Central Africa (Équipe d’appui inter-pays pour l’Afrique centrale)</w:t>
            </w:r>
          </w:p>
        </w:tc>
      </w:tr>
      <w:tr>
        <w:trPr>
          <w:trHeight w:val="491"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OMS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Organisation Mondiale de la Santé</w:t>
            </w:r>
          </w:p>
        </w:tc>
      </w:tr>
      <w:tr>
        <w:trPr>
          <w:trHeight w:val="532"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PEV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Programme Élargi de Vaccination</w:t>
            </w:r>
          </w:p>
        </w:tc>
      </w:tr>
      <w:tr>
        <w:trPr>
          <w:trHeight w:val="491"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République Centrafricaine</w:t>
            </w:r>
          </w:p>
        </w:tc>
      </w:tr>
      <w:tr>
        <w:trPr>
          <w:trHeight w:val="491"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République Démocratique du Congo</w:t>
            </w:r>
          </w:p>
        </w:tc>
      </w:tr>
      <w:tr>
        <w:trPr>
          <w:trHeight w:val="44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ROTA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le Rotavirus</w:t>
            </w:r>
          </w:p>
        </w:tc>
      </w:tr>
      <w:tr>
        <w:trPr>
          <w:trHeight w:val="497"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Rougeole-Rubéole (vaccin combiné)</w:t>
            </w:r>
          </w:p>
        </w:tc>
      </w:tr>
      <w:tr>
        <w:trPr>
          <w:trHeight w:val="48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São Tomé-et-Príncipe</w:t>
            </w:r>
          </w:p>
        </w:tc>
      </w:tr>
      <w:tr>
        <w:trPr>
          <w:trHeight w:val="497"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UNICEF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United Nations International Children’s Emergency Fund (Fonds des Nations Unies pour l'enfance)</w:t>
            </w:r>
          </w:p>
        </w:tc>
      </w:tr>
      <w:tr>
        <w:trPr>
          <w:trHeight w:val="499"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la fièvre jaune (Vaccin Anti-Amaril)</w:t>
            </w:r>
          </w:p>
        </w:tc>
      </w:tr>
      <w:tr>
        <w:trPr>
          <w:trHeight w:val="486"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Anti-Paludique</w:t>
            </w:r>
          </w:p>
        </w:tc>
      </w:tr>
      <w:tr>
        <w:trPr>
          <w:trHeight w:val="497"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la rougeole (vaccin antirougeoleux)</w:t>
            </w:r>
          </w:p>
        </w:tc>
      </w:tr>
      <w:tr>
        <w:trPr>
          <w:trHeight w:val="491"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VCP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Pneumococcique Conjugué</w:t>
            </w:r>
          </w:p>
        </w:tc>
      </w:tr>
      <w:tr>
        <w:trPr>
          <w:trHeight w:val="439"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VPI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Polio Inactivé</w:t>
            </w:r>
          </w:p>
        </w:tc>
      </w:tr>
      <w:tr>
        <w:trPr>
          <w:trHeight w:val="441"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VPO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Polio Oral</w:t>
            </w:r>
          </w:p>
        </w:tc>
      </w:tr>
      <w:tr>
        <w:trPr>
          <w:trHeight w:val="496" w:hRule="auto"/>
        </w:trPr>
        body19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WUENIC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WHO/UNICEF Estimates of National Immunization Coverage</w:t>
            </w:r>
          </w:p>
        </w:tc>
      </w:tr>
    </w:tbl>
    <w:p>
      <w:r>
        <w:br w:type="page"/>
      </w:r>
    </w:p>
    <w:bookmarkEnd w:id="20"/>
    <w:bookmarkStart w:id="21" w:name="clause-de-non-responsabilité"/>
    <w:p>
      <w:pPr>
        <w:pStyle w:val="Heading2"/>
      </w:pPr>
      <w:r>
        <w:t xml:space="preserve">2 Clause de non-responsabilité</w:t>
      </w:r>
    </w:p>
    <w:p>
      <w:pPr>
        <w:pStyle w:val="FirstParagraph"/>
      </w:pPr>
      <w:r>
        <w:t xml:space="preserve">Toutes les données incluses dans ce bulletin sont provisoires et peuvent être modifiées après vérification. En conséquence, les graphiques, cartes et tableaux peuvent ne pas être à jour. Les données de ce bulletin doivent ainsi être interprétées en prenant en compte ces limites.</w:t>
      </w:r>
    </w:p>
    <w:p>
      <w:r>
        <w:br w:type="page"/>
      </w:r>
    </w:p>
    <w:bookmarkEnd w:id="21"/>
    <w:bookmarkStart w:id="25" w:name="points-saillants"/>
    <w:p>
      <w:pPr>
        <w:pStyle w:val="Heading2"/>
      </w:pPr>
      <w:r>
        <w:t xml:space="preserve">3 Points Saillants</w:t>
      </w:r>
    </w:p>
    <w:bookmarkStart w:id="22" w:name="Xaf8da4ede1bb682c943d4c5c56ce53f6230a498"/>
    <w:p>
      <w:pPr>
        <w:pStyle w:val="Heading3"/>
      </w:pPr>
      <w:r>
        <w:t xml:space="preserve">3.1 Situation de la vaccination de routine en Afrique centrale</w:t>
      </w:r>
    </w:p>
    <w:p>
      <w:pPr>
        <w:pStyle w:val="Compact"/>
        <w:numPr>
          <w:ilvl w:val="0"/>
          <w:numId w:val="1001"/>
        </w:numPr>
      </w:pPr>
      <w:r>
        <w:t xml:space="preserve">10% : promptitude dans la soumission des données (seulement un pays- RDC- a soumis les données du mois de juin 2024).</w:t>
      </w:r>
    </w:p>
    <w:p>
      <w:pPr>
        <w:pStyle w:val="Compact"/>
        <w:numPr>
          <w:ilvl w:val="0"/>
          <w:numId w:val="1001"/>
        </w:numPr>
      </w:pPr>
      <w:r>
        <w:t xml:space="preserve">85% : couverture vaccinale médiane au DTC1 en Afrique centrale, oscillant entre 57% au Gabon et 115% en Guinée Equatoriale.</w:t>
      </w:r>
    </w:p>
    <w:p>
      <w:pPr>
        <w:pStyle w:val="Compact"/>
        <w:numPr>
          <w:ilvl w:val="0"/>
          <w:numId w:val="1001"/>
        </w:numPr>
      </w:pPr>
      <w:r>
        <w:t xml:space="preserve">80% : couverture vaccinale médiane au DTC3 en Afrique centrale, oscillant entre 53% au Gabon et 105% en Guinée Equatoriale.</w:t>
      </w:r>
    </w:p>
    <w:p>
      <w:pPr>
        <w:pStyle w:val="Compact"/>
        <w:numPr>
          <w:ilvl w:val="0"/>
          <w:numId w:val="1001"/>
        </w:numPr>
      </w:pPr>
      <w:r>
        <w:t xml:space="preserve">28% : proportion médiane districts ayant atteint ou dépassé 90% de couverture vaccinale en DTC3 en Afrique centrale, oscillant entre 4% au Gabon et 89% en Guinee_Equatoriale</w:t>
      </w:r>
    </w:p>
    <w:p>
      <w:pPr>
        <w:pStyle w:val="Compact"/>
        <w:numPr>
          <w:ilvl w:val="0"/>
          <w:numId w:val="1001"/>
        </w:numPr>
      </w:pPr>
      <w:r>
        <w:t xml:space="preserve">78% : couverture vaccinale médiane au MCV1 en Afrique centrale, oscillant entre 57% au Gabon et 90% au Tchad.</w:t>
      </w:r>
    </w:p>
    <w:p>
      <w:pPr>
        <w:pStyle w:val="Compact"/>
        <w:numPr>
          <w:ilvl w:val="0"/>
          <w:numId w:val="1001"/>
        </w:numPr>
      </w:pPr>
      <w:r>
        <w:t xml:space="preserve">7 : nombre de pays introduit le VAR2 dans le PEV (exception : Gabon, RCA, et Tchad.</w:t>
      </w:r>
    </w:p>
    <w:p>
      <w:pPr>
        <w:pStyle w:val="Compact"/>
        <w:numPr>
          <w:ilvl w:val="0"/>
          <w:numId w:val="1001"/>
        </w:numPr>
      </w:pPr>
      <w:r>
        <w:t xml:space="preserve">3 : nombre de pays introduit le VPI 2 dans le PEV: Cameroun, RDC, et Tchad.</w:t>
      </w:r>
    </w:p>
    <w:p>
      <w:pPr>
        <w:pStyle w:val="Compact"/>
        <w:numPr>
          <w:ilvl w:val="0"/>
          <w:numId w:val="1001"/>
        </w:numPr>
      </w:pPr>
      <w:r>
        <w:t xml:space="preserve">13,8 millions : le nombre cumulé des enfants zéro-dose et insuffisamment vaccinés dans les 10 pays de l’Afrique centrale de 2019 à 2023.</w:t>
      </w:r>
    </w:p>
    <w:p>
      <w:pPr>
        <w:pStyle w:val="Compact"/>
        <w:numPr>
          <w:ilvl w:val="0"/>
          <w:numId w:val="1001"/>
        </w:numPr>
      </w:pPr>
      <w:r>
        <w:t xml:space="preserve">92% : la proportion des enfants zéro-dose et insuffisamment vaccinés dans les Top 4 pays (RDC, Angola, Tchad, Cameroun).</w:t>
      </w:r>
    </w:p>
    <w:p>
      <w:pPr>
        <w:pStyle w:val="Compact"/>
        <w:numPr>
          <w:ilvl w:val="0"/>
          <w:numId w:val="1001"/>
        </w:numPr>
      </w:pPr>
      <w:r>
        <w:t xml:space="preserve">926 mille : nombre additionnel d’ enfants zéro-dose et insuffisamment vaccinés enregistrés de janvier à juin 2024 en Afrique centrale.</w:t>
      </w:r>
    </w:p>
    <w:p>
      <w:pPr>
        <w:pStyle w:val="Compact"/>
        <w:numPr>
          <w:ilvl w:val="0"/>
          <w:numId w:val="1001"/>
        </w:numPr>
      </w:pPr>
      <w:r>
        <w:t xml:space="preserve">7% : proportion des enfants zéro-dose de la cohorte 2023 rattrapés de janvier à juin 2024 (rapports issus de 5 pays : Gabon, Guinée Équatoriale, RDC, Tchad et Cameroun).</w:t>
      </w:r>
    </w:p>
    <w:p>
      <w:pPr>
        <w:pStyle w:val="Compact"/>
        <w:numPr>
          <w:ilvl w:val="0"/>
          <w:numId w:val="1001"/>
        </w:numPr>
      </w:pPr>
      <w:r>
        <w:t xml:space="preserve">0 : nombre de pays parmi les 5 prioritaires ( RDC, Cameroun, Tchad, RCA et Burundi ) ayant démarré la mise en œuvre du plan de grand rattrapage.</w:t>
      </w:r>
    </w:p>
    <w:p>
      <w:pPr>
        <w:pStyle w:val="Compact"/>
        <w:numPr>
          <w:ilvl w:val="0"/>
          <w:numId w:val="1001"/>
        </w:numPr>
      </w:pPr>
      <w:r>
        <w:t xml:space="preserve">1 : nombre de pays ayant introduit les vaccins contre le paludisme (VAP) en Afrique centrale (Cameroun) sur les 5 ayant planifié l’introduction du VAP en 2024 et 2025 (Burundi, RDC, RCA, Tchad en plus de Cameroun).</w:t>
      </w:r>
    </w:p>
    <w:p>
      <w:pPr>
        <w:pStyle w:val="Compact"/>
        <w:numPr>
          <w:ilvl w:val="0"/>
          <w:numId w:val="1001"/>
        </w:numPr>
      </w:pPr>
      <w:r>
        <w:t xml:space="preserve">50% : proportion des enfants ciblés vaccinés par au moins une dose du VAP au Cameroun à fin juillet 2024.</w:t>
      </w:r>
    </w:p>
    <w:bookmarkEnd w:id="22"/>
    <w:bookmarkStart w:id="23" w:name="surveillance-de-la-rougeole"/>
    <w:p>
      <w:pPr>
        <w:pStyle w:val="Heading3"/>
      </w:pPr>
      <w:r>
        <w:t xml:space="preserve">3.2 Surveillance de la rougeole</w:t>
      </w:r>
    </w:p>
    <w:p>
      <w:pPr>
        <w:pStyle w:val="Compact"/>
        <w:numPr>
          <w:ilvl w:val="0"/>
          <w:numId w:val="1002"/>
        </w:numPr>
      </w:pPr>
      <w:r>
        <w:t xml:space="preserve">9280 : nombre de cas de rougeoles rapportés par la surveillance cas par cas en Afrique centrale de janvier en juillet 2024, dont 144 décès (1.5% de létalité).</w:t>
      </w:r>
    </w:p>
    <w:p>
      <w:pPr>
        <w:pStyle w:val="Compact"/>
        <w:numPr>
          <w:ilvl w:val="0"/>
          <w:numId w:val="1002"/>
        </w:numPr>
      </w:pPr>
      <w:r>
        <w:t xml:space="preserve">9 sur 10 : nombre de pays ayant enregistré des districts en épidémie de rougeole depuis le début de l’année 2024 (exception : STP).</w:t>
      </w:r>
    </w:p>
    <w:p>
      <w:pPr>
        <w:pStyle w:val="Compact"/>
        <w:numPr>
          <w:ilvl w:val="0"/>
          <w:numId w:val="1002"/>
        </w:numPr>
      </w:pPr>
      <w:r>
        <w:t xml:space="preserve">22.6% : proportion des districts en Afrique centrale ayant été en épidémie depuis le début de l’année 2024.</w:t>
      </w:r>
    </w:p>
    <w:p>
      <w:pPr>
        <w:pStyle w:val="Compact"/>
        <w:numPr>
          <w:ilvl w:val="0"/>
          <w:numId w:val="1002"/>
        </w:numPr>
      </w:pPr>
      <w:r>
        <w:t xml:space="preserve">6 sur 10 : nombre de pays ayant au moins un district remplissant les critères d’épidémie active de rougeole à fin juillet 2024 (Burundi, Cameroun, RCA, Tchad, RDC et Congo).</w:t>
      </w:r>
    </w:p>
    <w:p>
      <w:pPr>
        <w:pStyle w:val="Compact"/>
        <w:numPr>
          <w:ilvl w:val="0"/>
          <w:numId w:val="1002"/>
        </w:numPr>
      </w:pPr>
      <w:r>
        <w:t xml:space="preserve">74 sur 1262 : nombre de districts en épidémie active à fin juillet 2024 dans 6 pays.</w:t>
      </w:r>
    </w:p>
    <w:p>
      <w:pPr>
        <w:pStyle w:val="Compact"/>
        <w:numPr>
          <w:ilvl w:val="0"/>
          <w:numId w:val="1002"/>
        </w:numPr>
      </w:pPr>
      <w:r>
        <w:t xml:space="preserve">4 pays ont organisé des ripostes vaccinales locales ou à l’échelle nationale depuis le début de l’année(Burundi, Cameroun, Tchad, RCA).</w:t>
      </w:r>
    </w:p>
    <w:bookmarkEnd w:id="23"/>
    <w:bookmarkStart w:id="24" w:name="X0107efb6c00857cbb8d5ebd6929db80c14c1bcd"/>
    <w:p>
      <w:pPr>
        <w:pStyle w:val="Heading3"/>
      </w:pPr>
      <w:r>
        <w:t xml:space="preserve">3.3 Performance des programmes de vaccination de routine et surveillance des maladies à prévention vaccinale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Guinee_equatoriale</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RCA</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Congo</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Tchad</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Cameroun</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Burundi</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RDC</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Gabon</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STP</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ECECEC"/>
              </w:rPr>
              <w:t xml:space="preserve">Angola</w:t>
            </w:r>
          </w:p>
        </w:tc>
      </w:tr>
      <w:tr>
        <w:trPr>
          <w:trHeight w:val="432" w:hRule="exact"/>
        </w:trPr>
        body1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111111"/>
              </w:rPr>
              <w:t xml:space="preserve">13</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9</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4</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r>
      <w:tr>
        <w:trPr>
          <w:trHeight w:val="360" w:hRule="auto"/>
        </w:trPr>
        footer1
        <w:tc>
          <w:tcPr>
            <w:gridSpan w:val="10"/>
            <w:tcBorders>
              <w:bottom w:val="none" w:sz="0" w:space="0" w:color="FFFFFF"/>
              <w:top w:val="single" w:sz="6"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t xml:space="preserve">0-7: Faible</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t xml:space="preserve">8-12: Insuffisante</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t xml:space="preserve">13-19: Moyenne</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4"/>
                <w:szCs w:val="14"/>
                <w:color w:val="000000"/>
              </w:rPr>
              <w:t xml:space="preserve">20-24: Bonne</w:t>
            </w:r>
          </w:p>
        </w:tc>
      </w:tr>
    </w:tbl>
    <w:p>
      <w:r>
        <w:br w:type="page"/>
      </w:r>
    </w:p>
    <w:bookmarkEnd w:id="24"/>
    <w:bookmarkEnd w:id="25"/>
    <w:bookmarkStart w:id="90" w:name="Xfaaaf8aff633e5e4ddc5926048b68033a06df43"/>
    <w:p>
      <w:pPr>
        <w:pStyle w:val="Heading2"/>
      </w:pPr>
      <w:r>
        <w:t xml:space="preserve">4 Situation de la Vaccination de Routine en Afrique Centrale</w:t>
      </w:r>
    </w:p>
    <w:bookmarkStart w:id="27" w:name="Xefb96c8653b15fadb832ddce9b9db921837e31f"/>
    <w:p>
      <w:pPr>
        <w:pStyle w:val="Heading3"/>
      </w:pPr>
      <w:r>
        <w:t xml:space="preserve">4.1 Promptitude de la soumission des rapports des pays</w:t>
      </w:r>
    </w:p>
    <w:p>
      <w:pPr>
        <w:pStyle w:val="FirstParagraph"/>
      </w:pPr>
      <w:r>
        <w:t xml:space="preserve">Au mois de juillet 2024, les pays étaient censés soumettre les données de vaccination à la fin juin 2024. Seule la République Démocratique du Congo (RDC) a soumis les données datées de fin juin 2024, soit une promptitude de 10%. Le</w:t>
      </w:r>
      <w:r>
        <w:t xml:space="preserve"> </w:t>
      </w:r>
      <w:hyperlink w:anchor="tbl-situation">
        <w:r>
          <w:rPr>
            <w:rStyle w:val="Hyperlink"/>
          </w:rPr>
          <w:t xml:space="preserve">tableau 1</w:t>
        </w:r>
      </w:hyperlink>
      <w:r>
        <w:t xml:space="preserve"> </w:t>
      </w:r>
      <w:r>
        <w:t xml:space="preserve">présente la distribution des pays selon les dates (Mois) des derniers rapports soumis à l’Équipe d’Appui Interpays pour l’Afrique centrale (IST-CA).</w:t>
      </w:r>
    </w:p>
    <w:tbl>
      <w:tblPr>
        <w:tblStyle w:val="Table"/>
        <w:tblW w:type="pct" w:w="5000"/>
        <w:tblLayout w:type="fixed"/>
        <w:tblLook w:firstRow="0" w:lastRow="0" w:firstColumn="0" w:lastColumn="0" w:noHBand="0" w:noVBand="0" w:val="0000"/>
      </w:tblPr>
      <w:tblGrid>
        <w:gridCol w:w="7920"/>
      </w:tblGrid>
      <w:tr>
        <w:tc>
          <w:tcPr/>
          <w:bookmarkStart w:id="26" w:name="tbl-situation"/>
          <w:p>
            <w:pPr>
              <w:jc w:val="center"/>
            </w:pPr>
            <w:pPr>
              <w:jc w:val="start"/>
              <w:spacing w:before="200"/>
              <w:pStyle w:val="ImageCaption"/>
            </w:pPr>
            <w:r>
              <w:t xml:space="preserve">Tableau 1: Date en mois des dernières données soumises à IST-CA par les pays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Mois du dernier</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rapport</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12" w:space="0" w:color="666666"/>
                    <w:left w:val="none" w:sz="0" w:space="0" w:color="000000"/>
                    <w:right w:val="none" w:sz="0" w:space="0" w:color="000000"/>
                  </w:tcBorders>
                  <w:shd w:val="clear" w:color="auto" w:fill="9E2A2B"/>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mars 2024</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6" w:space="0" w:color="666666"/>
                    <w:left w:val="none" w:sz="0" w:space="0" w:color="000000"/>
                    <w:right w:val="none" w:sz="0" w:space="0" w:color="000000"/>
                  </w:tcBorders>
                  <w:shd w:val="clear" w:color="auto" w:fill="9E2A2B"/>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avr 2024</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 Equatoriale</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12" w:space="0" w:color="666666"/>
                    <w:top w:val="single" w:sz="6" w:space="0" w:color="666666"/>
                    <w:left w:val="none" w:sz="0" w:space="0" w:color="000000"/>
                    <w:right w:val="none" w:sz="0" w:space="0" w:color="000000"/>
                  </w:tcBorders>
                  <w:shd w:val="clear" w:color="auto" w:fill="0064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juin 2024</w:t>
                  </w:r>
                </w:p>
              </w:tc>
            </w:tr>
          </w:tbl>
          <w:bookmarkEnd w:id="26"/>
        </w:tc>
      </w:tr>
    </w:tbl>
    <w:p>
      <w:pPr>
        <w:pStyle w:val="BodyText"/>
      </w:pPr>
      <w:r>
        <w:rPr>
          <w:b/>
          <w:bCs/>
        </w:rPr>
        <w:t xml:space="preserve">NB</w:t>
      </w:r>
      <w:r>
        <w:t xml:space="preserve">: Les couvertures vaccinales calculées dans le bulletin l’ont été au dernier mois des données disponibles pour chaque pays.</w:t>
      </w:r>
      <w:r>
        <w:t xml:space="preserve"> </w:t>
      </w:r>
    </w:p>
    <w:bookmarkEnd w:id="27"/>
    <w:bookmarkStart w:id="40" w:name="couverture-vaccinale-aux-dtc1-et-dtc3"/>
    <w:p>
      <w:pPr>
        <w:pStyle w:val="Heading3"/>
      </w:pPr>
      <w:r>
        <w:t xml:space="preserve">4.2 Couverture vaccinale aux DTC1 et DTC3</w:t>
      </w:r>
    </w:p>
    <w:p>
      <w:pPr>
        <w:pStyle w:val="FirstParagraph"/>
      </w:pPr>
      <w:r>
        <w:t xml:space="preserve">La couverture vaccinale médiane au DTC1 au dernier mois des rapports disponibles en Afrique centrale était de 85.5% oscillant entre 57% au Gabon et 115% en Guinee_Eq.</w:t>
      </w:r>
      <w:r>
        <w:t xml:space="preserve"> </w:t>
      </w:r>
      <w:r>
        <w:t xml:space="preserve">La médiane de couverture vaccinale au DTC3 était de 80% oscillant entre 53% au Gabon et 105% en Guinee_Eq. La</w:t>
      </w:r>
      <w:r>
        <w:t xml:space="preserve"> </w:t>
      </w:r>
      <w:hyperlink w:anchor="fig-Couverture_penta">
        <w:r>
          <w:rPr>
            <w:rStyle w:val="Hyperlink"/>
          </w:rPr>
          <w:t xml:space="preserve">figure 1</w:t>
        </w:r>
      </w:hyperlink>
      <w:r>
        <w:t xml:space="preserve"> </w:t>
      </w:r>
      <w:r>
        <w:t xml:space="preserve">présente la distribution des couvertures vaccinales au DTC1, DTC3 et le pourcentage des enfants perdus de vue au dernier mois des rapports disponibles par pays d’Afrique centrale.</w:t>
      </w:r>
    </w:p>
    <w:p>
      <w:pPr>
        <w:pStyle w:val="BodyText"/>
      </w:pPr>
      <w:r>
        <w:t xml:space="preserve">Il faut noter que la couverture vaccinale au DTC3 était supérieure à celle au DTC1 en RDC et à Sao Tomé-et-Principe (STP); elle a été ajustée au niveau de la couverture au DTC1, en attendant une investigation de la cause du problème avec les pays concernés.</w:t>
      </w:r>
    </w:p>
    <w:tbl>
      <w:tblPr>
        <w:tblStyle w:val="Table"/>
        <w:tblW w:type="pct" w:w="5000"/>
        <w:tblLayout w:type="fixed"/>
        <w:tblLook w:firstRow="0" w:lastRow="0" w:firstColumn="0" w:lastColumn="0" w:noHBand="0" w:noVBand="0" w:val="0000"/>
      </w:tblPr>
      <w:tblGrid>
        <w:gridCol w:w="7920"/>
      </w:tblGrid>
      <w:tr>
        <w:tc>
          <w:tcPr/>
          <w:bookmarkStart w:id="31" w:name="fig-Couverture_penta"/>
          <w:p>
            <w:pPr>
              <w:pStyle w:val="Compact"/>
              <w:jc w:val="center"/>
            </w:pPr>
            <w:r>
              <w:drawing>
                <wp:inline>
                  <wp:extent cx="5943600" cy="4953000"/>
                  <wp:effectExtent b="0" l="0" r="0" t="0"/>
                  <wp:docPr descr="" title="" id="29" name="Picture"/>
                  <a:graphic>
                    <a:graphicData uri="http://schemas.openxmlformats.org/drawingml/2006/picture">
                      <pic:pic>
                        <pic:nvPicPr>
                          <pic:cNvPr descr="figures/fig-Couverture_penta-1.png" id="30" name="Picture"/>
                          <pic:cNvPicPr>
                            <a:picLocks noChangeArrowheads="1" noChangeAspect="1"/>
                          </pic:cNvPicPr>
                        </pic:nvPicPr>
                        <pic:blipFill>
                          <a:blip r:embed="rId28"/>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Couvertures vaccinales administratives aux DTC1 et DTC3 et % des perdus de vue entre les deux doses par pays en Afrique centrale</w:t>
            </w:r>
          </w:p>
          <w:bookmarkEnd w:id="31"/>
        </w:tc>
      </w:tr>
    </w:tbl>
    <w:p>
      <w:pPr>
        <w:pStyle w:val="BodyText"/>
      </w:pPr>
      <w:r>
        <w:t xml:space="preserve">La Guinee_Eq, Tchad ont enregistré des couvertures vaccinales au DTC1 au-delà de 100%, mettant en lumière des problèmes éventuels de qualité des données.</w:t>
      </w:r>
    </w:p>
    <w:p>
      <w:pPr>
        <w:pStyle w:val="BodyText"/>
      </w:pPr>
      <w:r>
        <w:t xml:space="preserve">La</w:t>
      </w:r>
      <w:r>
        <w:t xml:space="preserve"> </w:t>
      </w:r>
      <w:hyperlink w:anchor="fig-distrib_geographique">
        <w:r>
          <w:rPr>
            <w:rStyle w:val="Hyperlink"/>
          </w:rPr>
          <w:t xml:space="preserve">figure 2</w:t>
        </w:r>
      </w:hyperlink>
      <w:r>
        <w:t xml:space="preserve"> </w:t>
      </w:r>
      <w:r>
        <w:t xml:space="preserve">présente la distribution des couvertures vaccinales au DTC3 par district sanitaire dans les pays d’Afrique centrale.</w:t>
      </w:r>
    </w:p>
    <w:tbl>
      <w:tblPr>
        <w:tblStyle w:val="Table"/>
        <w:tblW w:type="pct" w:w="5000"/>
        <w:tblLayout w:type="fixed"/>
        <w:tblLook w:firstRow="0" w:lastRow="0" w:firstColumn="0" w:lastColumn="0" w:noHBand="0" w:noVBand="0" w:val="0000"/>
      </w:tblPr>
      <w:tblGrid>
        <w:gridCol w:w="7920"/>
      </w:tblGrid>
      <w:tr>
        <w:tc>
          <w:tcPr/>
          <w:bookmarkStart w:id="35" w:name="fig-distrib_geographique"/>
          <w:p>
            <w:pPr>
              <w:pStyle w:val="Compact"/>
              <w:jc w:val="center"/>
            </w:pPr>
            <w:r>
              <w:drawing>
                <wp:inline>
                  <wp:extent cx="5943600" cy="4953000"/>
                  <wp:effectExtent b="0" l="0" r="0" t="0"/>
                  <wp:docPr descr="" title="" id="33" name="Picture"/>
                  <a:graphic>
                    <a:graphicData uri="http://schemas.openxmlformats.org/drawingml/2006/picture">
                      <pic:pic>
                        <pic:nvPicPr>
                          <pic:cNvPr descr="figures/fig-distrib_geographique-1.png" id="34" name="Picture"/>
                          <pic:cNvPicPr>
                            <a:picLocks noChangeArrowheads="1" noChangeAspect="1"/>
                          </pic:cNvPicPr>
                        </pic:nvPicPr>
                        <pic:blipFill>
                          <a:blip r:embed="rId32"/>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Distribution des couvertures vaccinales au DTC3 dans les districts de santé de l’Afrique centrale.</w:t>
            </w:r>
          </w:p>
          <w:bookmarkEnd w:id="35"/>
        </w:tc>
      </w:tr>
    </w:tbl>
    <w:p>
      <w:pPr>
        <w:pStyle w:val="BodyText"/>
      </w:pPr>
      <w:r>
        <w:t xml:space="preserve">La proportion moyenne des districts ayant atteint ou dépassé 90% de couverture vaccinale en DTC3 a été de</w:t>
      </w:r>
      <w:r>
        <w:t xml:space="preserve"> </w:t>
      </w:r>
      <w:r>
        <w:rPr>
          <w:b/>
          <w:bCs/>
        </w:rPr>
        <w:t xml:space="preserve">28.5%</w:t>
      </w:r>
      <w:r>
        <w:t xml:space="preserve">, oscillant entre</w:t>
      </w:r>
      <w:r>
        <w:t xml:space="preserve"> </w:t>
      </w:r>
      <w:r>
        <w:rPr>
          <w:b/>
          <w:bCs/>
        </w:rPr>
        <w:t xml:space="preserve">4.0%</w:t>
      </w:r>
      <w:r>
        <w:t xml:space="preserve"> </w:t>
      </w:r>
      <w:r>
        <w:t xml:space="preserve">au</w:t>
      </w:r>
      <w:r>
        <w:t xml:space="preserve"> </w:t>
      </w:r>
      <w:r>
        <w:rPr>
          <w:b/>
          <w:bCs/>
        </w:rPr>
        <w:t xml:space="preserve">Gabon</w:t>
      </w:r>
      <w:r>
        <w:t xml:space="preserve"> </w:t>
      </w:r>
      <w:r>
        <w:t xml:space="preserve">et</w:t>
      </w:r>
      <w:r>
        <w:t xml:space="preserve"> </w:t>
      </w:r>
      <w:r>
        <w:rPr>
          <w:b/>
          <w:bCs/>
        </w:rPr>
        <w:t xml:space="preserve">89.0%</w:t>
      </w:r>
      <w:r>
        <w:t xml:space="preserve"> </w:t>
      </w:r>
      <w:r>
        <w:t xml:space="preserve">en</w:t>
      </w:r>
      <w:r>
        <w:t xml:space="preserve"> </w:t>
      </w:r>
      <w:r>
        <w:rPr>
          <w:b/>
          <w:bCs/>
        </w:rPr>
        <w:t xml:space="preserve">Guinee_Eq</w:t>
      </w:r>
      <w:r>
        <w:t xml:space="preserve"> </w:t>
      </w:r>
      <w:r>
        <w:t xml:space="preserve">. La</w:t>
      </w:r>
      <w:r>
        <w:t xml:space="preserve"> </w:t>
      </w:r>
      <w:hyperlink w:anchor="fig-District_90">
        <w:r>
          <w:rPr>
            <w:rStyle w:val="Hyperlink"/>
          </w:rPr>
          <w:t xml:space="preserve">figure 3</w:t>
        </w:r>
      </w:hyperlink>
      <w:r>
        <w:t xml:space="preserve"> </w:t>
      </w:r>
      <w:r>
        <w:t xml:space="preserve">montre la proportion de districts ayant atteint 90% de couverture vaccinale dans les pays d’Afrique centrale.</w:t>
      </w:r>
    </w:p>
    <w:tbl>
      <w:tblPr>
        <w:tblStyle w:val="Table"/>
        <w:tblW w:type="pct" w:w="5000"/>
        <w:tblLayout w:type="fixed"/>
        <w:tblLook w:firstRow="0" w:lastRow="0" w:firstColumn="0" w:lastColumn="0" w:noHBand="0" w:noVBand="0" w:val="0000"/>
      </w:tblPr>
      <w:tblGrid>
        <w:gridCol w:w="7920"/>
      </w:tblGrid>
      <w:tr>
        <w:tc>
          <w:tcPr/>
          <w:bookmarkStart w:id="39" w:name="fig-District_90"/>
          <w:p>
            <w:pPr>
              <w:pStyle w:val="Compact"/>
              <w:jc w:val="center"/>
            </w:pPr>
            <w:r>
              <w:drawing>
                <wp:inline>
                  <wp:extent cx="5943600" cy="4953000"/>
                  <wp:effectExtent b="0" l="0" r="0" t="0"/>
                  <wp:docPr descr="" title="" id="37" name="Picture"/>
                  <a:graphic>
                    <a:graphicData uri="http://schemas.openxmlformats.org/drawingml/2006/picture">
                      <pic:pic>
                        <pic:nvPicPr>
                          <pic:cNvPr descr="figures/fig-District_90-1.png" id="38" name="Picture"/>
                          <pic:cNvPicPr>
                            <a:picLocks noChangeArrowheads="1" noChangeAspect="1"/>
                          </pic:cNvPicPr>
                        </pic:nvPicPr>
                        <pic:blipFill>
                          <a:blip r:embed="rId3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Proportion des districts avec une couverture vaccinale en DTC3 ≥90% en Afrique centrale</w:t>
            </w:r>
          </w:p>
          <w:bookmarkEnd w:id="39"/>
        </w:tc>
      </w:tr>
    </w:tbl>
    <w:bookmarkEnd w:id="40"/>
    <w:bookmarkStart w:id="61" w:name="X0a1c87c00e88fb613dec22784049803bd533903"/>
    <w:p>
      <w:pPr>
        <w:pStyle w:val="Heading3"/>
      </w:pPr>
      <w:r>
        <w:t xml:space="preserve">4.3 Couverture vaccinale aux autres vaccins du programme élargi de vaccination (PEV)</w:t>
      </w:r>
    </w:p>
    <w:bookmarkStart w:id="45" w:name="Xdb13ee40fffb04415e7f44e9931c27c2a6f5987"/>
    <w:p>
      <w:pPr>
        <w:pStyle w:val="Heading4"/>
      </w:pPr>
      <w:r>
        <w:t xml:space="preserve">4.3.1 Vaccins administrés à la naissance (BCG, VPO0, HepB0)</w:t>
      </w:r>
    </w:p>
    <w:p>
      <w:pPr>
        <w:pStyle w:val="FirstParagraph"/>
      </w:pPr>
      <w:r>
        <w:t xml:space="preserve">Le nombre de pays ayant atteint ou dépassé 90% de couverture vaccinale au BCG était de 3 pays sur 10 (30%): Cameroun (91.0%), Tchad (98.0%), Guinee_Eq (137.0%). Ces 3 pays ainsi que l’Angola ont enregistré une couverture vaccinale au BCG supérieure à celle en VPO0. Dans les 6 autres pays (Burundi, Congo, Gabon, RCA, RDC, STP) les couvertures vaccinales aux BCG et VPO0 étaient similaires, mais inférieures à 90%. Trois pays ont introduit le vaccin au HepB0: Angola, Guinée Équatoriale et STP. Parmi ces pays, seule la Guinee_Eq (115%) a dépassé 90% de couverture vaccinale. En Angola la couverture vaccinale au HepB0 était de 54%, inférieure à celle au BCG (71%), alors qu’en STP la couverture vaccinale au HepB0 était (58%) peu différente de celle au BCG (56%). La</w:t>
      </w:r>
      <w:r>
        <w:t xml:space="preserve"> </w:t>
      </w:r>
      <w:hyperlink w:anchor="fig-bcg_co">
        <w:r>
          <w:rPr>
            <w:rStyle w:val="Hyperlink"/>
          </w:rPr>
          <w:t xml:space="preserve">figure 4</w:t>
        </w:r>
      </w:hyperlink>
      <w:r>
        <w:t xml:space="preserve"> </w:t>
      </w:r>
      <w:r>
        <w:t xml:space="preserve">présente la distribution des couvertures vaccinales aux vaccins administrés à la naissance dans les pays d’Afrique centrale.</w:t>
      </w:r>
    </w:p>
    <w:tbl>
      <w:tblPr>
        <w:tblStyle w:val="Table"/>
        <w:tblW w:type="pct" w:w="5000"/>
        <w:tblLayout w:type="fixed"/>
        <w:tblLook w:firstRow="0" w:lastRow="0" w:firstColumn="0" w:lastColumn="0" w:noHBand="0" w:noVBand="0" w:val="0000"/>
      </w:tblPr>
      <w:tblGrid>
        <w:gridCol w:w="7920"/>
      </w:tblGrid>
      <w:tr>
        <w:tc>
          <w:tcPr/>
          <w:bookmarkStart w:id="44" w:name="fig-bcg_co"/>
          <w:p>
            <w:pPr>
              <w:pStyle w:val="Compact"/>
              <w:jc w:val="center"/>
            </w:pPr>
            <w:r>
              <w:drawing>
                <wp:inline>
                  <wp:extent cx="5943600" cy="4953000"/>
                  <wp:effectExtent b="0" l="0" r="0" t="0"/>
                  <wp:docPr descr="" title="" id="42" name="Picture"/>
                  <a:graphic>
                    <a:graphicData uri="http://schemas.openxmlformats.org/drawingml/2006/picture">
                      <pic:pic>
                        <pic:nvPicPr>
                          <pic:cNvPr descr="figures/fig-bcg_co-1.png" id="43" name="Picture"/>
                          <pic:cNvPicPr>
                            <a:picLocks noChangeArrowheads="1" noChangeAspect="1"/>
                          </pic:cNvPicPr>
                        </pic:nvPicPr>
                        <pic:blipFill>
                          <a:blip r:embed="rId41"/>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Couverture vaccinale au BCG, VPO0, HepB0 au niveau national dans les pays de l’Afrique centrale</w:t>
            </w:r>
          </w:p>
          <w:bookmarkEnd w:id="44"/>
        </w:tc>
      </w:tr>
    </w:tbl>
    <w:bookmarkEnd w:id="45"/>
    <w:bookmarkStart w:id="50" w:name="X644e75ea29694a22b40830cede50f095a594174"/>
    <w:p>
      <w:pPr>
        <w:pStyle w:val="Heading4"/>
      </w:pPr>
      <w:r>
        <w:t xml:space="preserve">4.3.2 Couverture vaccinale aux troisièmes doses de VPO, ROTA, VCP</w:t>
      </w:r>
    </w:p>
    <w:p>
      <w:pPr>
        <w:pStyle w:val="FirstParagraph"/>
      </w:pPr>
      <w:r>
        <w:t xml:space="preserve">La</w:t>
      </w:r>
      <w:r>
        <w:t xml:space="preserve"> </w:t>
      </w:r>
      <w:hyperlink w:anchor="fig-3rd_doses">
        <w:r>
          <w:rPr>
            <w:rStyle w:val="Hyperlink"/>
          </w:rPr>
          <w:t xml:space="preserve">figure 5</w:t>
        </w:r>
      </w:hyperlink>
      <w:r>
        <w:t xml:space="preserve"> </w:t>
      </w:r>
      <w:r>
        <w:t xml:space="preserve">présente la distribution des couvertures vaccinales au mois des dernières données transmises à l’IST-CA, aux VPO3, Rota3 et VCP3, dans les pays d’ Afrique centrale.</w:t>
      </w:r>
    </w:p>
    <w:tbl>
      <w:tblPr>
        <w:tblStyle w:val="Table"/>
        <w:tblW w:type="pct" w:w="5000"/>
        <w:tblLayout w:type="fixed"/>
        <w:tblLook w:firstRow="0" w:lastRow="0" w:firstColumn="0" w:lastColumn="0" w:noHBand="0" w:noVBand="0" w:val="0000"/>
      </w:tblPr>
      <w:tblGrid>
        <w:gridCol w:w="7920"/>
      </w:tblGrid>
      <w:tr>
        <w:tc>
          <w:tcPr/>
          <w:bookmarkStart w:id="49" w:name="fig-3rd_doses"/>
          <w:p>
            <w:pPr>
              <w:pStyle w:val="Compact"/>
              <w:jc w:val="center"/>
            </w:pPr>
            <w:r>
              <w:drawing>
                <wp:inline>
                  <wp:extent cx="5943600" cy="4953000"/>
                  <wp:effectExtent b="0" l="0" r="0" t="0"/>
                  <wp:docPr descr="" title="" id="47" name="Picture"/>
                  <a:graphic>
                    <a:graphicData uri="http://schemas.openxmlformats.org/drawingml/2006/picture">
                      <pic:pic>
                        <pic:nvPicPr>
                          <pic:cNvPr descr="figures/fig-3rd_doses-1.png" id="48" name="Picture"/>
                          <pic:cNvPicPr>
                            <a:picLocks noChangeArrowheads="1" noChangeAspect="1"/>
                          </pic:cNvPicPr>
                        </pic:nvPicPr>
                        <pic:blipFill>
                          <a:blip r:embed="rId4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Couverture vaccinale par les 3èmes doses de VPO, VCP et Rota au niveau national en Afrique centrale</w:t>
            </w:r>
          </w:p>
          <w:bookmarkEnd w:id="49"/>
        </w:tc>
      </w:tr>
    </w:tbl>
    <w:p>
      <w:pPr>
        <w:pStyle w:val="BodyText"/>
      </w:pPr>
      <w:r>
        <w:t xml:space="preserve">Les couvertures vaccinales médianes étaient ROTA3 62% [étendue: 54%; 124%] pour le ROTA3, VCP3 80% [étendue: 60%; 160%] pour le VCP3, VPO3 80% [étendue: 43%; 103%] pour le VPO3.</w:t>
      </w:r>
      <w:r>
        <w:t xml:space="preserve"> </w:t>
      </w:r>
      <w:r>
        <w:t xml:space="preserve">Quatre pays (Cameroun, Congo, RDC, STP) ont intégré les 3 vaccins dans leur PEV. Au Cameroun, Congo, RDC, la couverture vaccinale au Rota était inférieure à celles aux deux autres antigènes et, mais est restées inférieure à 90%. En STP, la couverture au Rota3 était supérieure à 100% et à celle des deux autres antigènes.</w:t>
      </w:r>
    </w:p>
    <w:p>
      <w:pPr>
        <w:pStyle w:val="BodyText"/>
      </w:pPr>
      <w:r>
        <w:t xml:space="preserve">En plus du VPO, l’Angola, la RCA, et le Burundi ont aussi intégré le VCP tandis que le Gabon, Guinée Équatoriale, Tchad n’ont encore intégré dans leur PEV ni le Rota ni le VCP. Par ailleurs, de la RDC, Guinee_Eq, Tchad ont enregistré plus de 90% de couverture vaccinale au VPO3. En dehors de STP, aucun pays n’a atteint ou dépassé 90% de couverture vaccinale au Rota3. La RCA est le seul pays à avoir enregistré plus de 90% de couverture vaccinale au VCP3.</w:t>
      </w:r>
    </w:p>
    <w:bookmarkEnd w:id="50"/>
    <w:bookmarkStart w:id="55" w:name="Xde61a2fccf2b1fd6cf77f20999de1bab858b23c"/>
    <w:p>
      <w:pPr>
        <w:pStyle w:val="Heading4"/>
      </w:pPr>
      <w:r>
        <w:t xml:space="preserve">4.3.3 Couverture vaccinale aux premières doses des vaccins contre la rougeole, la fièvre jaune et antipoliomyélitique (forme inactivée)</w:t>
      </w:r>
    </w:p>
    <w:p>
      <w:pPr>
        <w:pStyle w:val="FirstParagraph"/>
      </w:pPr>
      <w:r>
        <w:t xml:space="preserve">La</w:t>
      </w:r>
      <w:r>
        <w:t xml:space="preserve"> </w:t>
      </w:r>
      <w:hyperlink w:anchor="fig-var_vaa">
        <w:r>
          <w:rPr>
            <w:rStyle w:val="Hyperlink"/>
          </w:rPr>
          <w:t xml:space="preserve">figure 6</w:t>
        </w:r>
      </w:hyperlink>
      <w:r>
        <w:t xml:space="preserve"> </w:t>
      </w:r>
      <w:r>
        <w:t xml:space="preserve">présente la distribution des couvertures vaccinales au mois des dernières données transmises à l’IST-CA, aux premières doses de vaccins antirougeoleux (VAR1), antiamaril (VAA) et antipoliomyélitique inactivé (VPI1) dans les pays de l’Afrique centrale. Le Burundi est le seul pays de la sous-région n’ayant pas encore introduit le VAA dans son PEV. Au Burundi les couvertures vaccinales aux VAR1 et VPI1 étaient proches tout en restant inférieures à 90%.</w:t>
      </w:r>
    </w:p>
    <w:tbl>
      <w:tblPr>
        <w:tblStyle w:val="Table"/>
        <w:tblW w:type="pct" w:w="5000"/>
        <w:tblLayout w:type="fixed"/>
        <w:tblLook w:firstRow="0" w:lastRow="0" w:firstColumn="0" w:lastColumn="0" w:noHBand="0" w:noVBand="0" w:val="0000"/>
      </w:tblPr>
      <w:tblGrid>
        <w:gridCol w:w="7920"/>
      </w:tblGrid>
      <w:tr>
        <w:tc>
          <w:tcPr/>
          <w:bookmarkStart w:id="54" w:name="fig-var_vaa"/>
          <w:p>
            <w:pPr>
              <w:pStyle w:val="Compact"/>
              <w:jc w:val="center"/>
            </w:pPr>
            <w:r>
              <w:drawing>
                <wp:inline>
                  <wp:extent cx="5943600" cy="4953000"/>
                  <wp:effectExtent b="0" l="0" r="0" t="0"/>
                  <wp:docPr descr="" title="" id="52" name="Picture"/>
                  <a:graphic>
                    <a:graphicData uri="http://schemas.openxmlformats.org/drawingml/2006/picture">
                      <pic:pic>
                        <pic:nvPicPr>
                          <pic:cNvPr descr="figures/fig-var_vaa-1.png" id="53" name="Picture"/>
                          <pic:cNvPicPr>
                            <a:picLocks noChangeArrowheads="1" noChangeAspect="1"/>
                          </pic:cNvPicPr>
                        </pic:nvPicPr>
                        <pic:blipFill>
                          <a:blip r:embed="rId51"/>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Couverture vaccinale par le VAR1, VAA et VPI1 au niveau national en Afrique centrale</w:t>
            </w:r>
          </w:p>
          <w:bookmarkEnd w:id="54"/>
        </w:tc>
      </w:tr>
    </w:tbl>
    <w:p>
      <w:pPr>
        <w:pStyle w:val="BodyText"/>
      </w:pPr>
      <w:r>
        <w:t xml:space="preserve">Les couvertures vaccinales médianes étaient de 77% [étendue: 37%; 99%] au VAA, 78.5% [étendue: 57%; 90%] au VAR1, 79.5% [étendue: 53%; 105%] au VPI1. Bien que les couvertures vaccinales soient en général sous-optimales, les pays suivants ont atteint une couverture satisfaisante : STP pour le</w:t>
      </w:r>
      <w:r>
        <w:t xml:space="preserve"> </w:t>
      </w:r>
      <w:r>
        <w:rPr>
          <w:b/>
          <w:bCs/>
        </w:rPr>
        <w:t xml:space="preserve">VAA</w:t>
      </w:r>
      <w:r>
        <w:t xml:space="preserve">; RCA et Tchad pour le</w:t>
      </w:r>
      <w:r>
        <w:t xml:space="preserve"> </w:t>
      </w:r>
      <w:r>
        <w:rPr>
          <w:b/>
          <w:bCs/>
        </w:rPr>
        <w:t xml:space="preserve">VAR1</w:t>
      </w:r>
      <w:r>
        <w:t xml:space="preserve">; et la Guinee_Eq, RCA, et Tchad au</w:t>
      </w:r>
      <w:r>
        <w:t xml:space="preserve"> </w:t>
      </w:r>
      <w:r>
        <w:rPr>
          <w:b/>
          <w:bCs/>
        </w:rPr>
        <w:t xml:space="preserve">VPI 1</w:t>
      </w:r>
      <w:r>
        <w:t xml:space="preserve">.</w:t>
      </w:r>
    </w:p>
    <w:bookmarkEnd w:id="55"/>
    <w:bookmarkStart w:id="60" w:name="X74c3205829126a524dc3874d603ed1d22765e14"/>
    <w:p>
      <w:pPr>
        <w:pStyle w:val="Heading4"/>
      </w:pPr>
      <w:r>
        <w:t xml:space="preserve">4.3.4 Couverture vaccinale aux deuxièmes doses des vaccins antirougeoleux et antipoliomyélitique inactivé</w:t>
      </w:r>
    </w:p>
    <w:tbl>
      <w:tblPr>
        <w:tblStyle w:val="Table"/>
        <w:tblW w:type="pct" w:w="5000"/>
        <w:tblLayout w:type="fixed"/>
        <w:tblLook w:firstRow="0" w:lastRow="0" w:firstColumn="0" w:lastColumn="0" w:noHBand="0" w:noVBand="0" w:val="0000"/>
      </w:tblPr>
      <w:tblGrid>
        <w:gridCol w:w="7920"/>
      </w:tblGrid>
      <w:tr>
        <w:tc>
          <w:tcPr/>
          <w:bookmarkStart w:id="59" w:name="fig-var_vpi2"/>
          <w:p>
            <w:pPr>
              <w:pStyle w:val="Compact"/>
              <w:jc w:val="center"/>
            </w:pPr>
            <w:r>
              <w:drawing>
                <wp:inline>
                  <wp:extent cx="5943600" cy="4953000"/>
                  <wp:effectExtent b="0" l="0" r="0" t="0"/>
                  <wp:docPr descr="" title="" id="57" name="Picture"/>
                  <a:graphic>
                    <a:graphicData uri="http://schemas.openxmlformats.org/drawingml/2006/picture">
                      <pic:pic>
                        <pic:nvPicPr>
                          <pic:cNvPr descr="figures/fig-var_vpi2-1.png" id="58" name="Picture"/>
                          <pic:cNvPicPr>
                            <a:picLocks noChangeArrowheads="1" noChangeAspect="1"/>
                          </pic:cNvPicPr>
                        </pic:nvPicPr>
                        <pic:blipFill>
                          <a:blip r:embed="rId5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Couvertures vaccinales par le VAR2 et VPI2 au niveau national dans les pays de l’Afrique centrale</w:t>
            </w:r>
          </w:p>
          <w:bookmarkEnd w:id="59"/>
        </w:tc>
      </w:tr>
    </w:tbl>
    <w:p>
      <w:pPr>
        <w:pStyle w:val="BodyText"/>
      </w:pPr>
      <w:r>
        <w:t xml:space="preserve">Le VAR2 a été introduit par la plupart des pays de la sous-région à l’exception du Gabon et la RCA. La couverture vaccinale médiane au VAR2 était de 47% oscillant entre 35% en Angola et 84% au Burundi. Aucun des sept pays ayant introduit le VAR 2 n’a atteint 90% de couverture vaccinale. Le Burundi, Guinee_Eq, et STP ont enregistré plus de 50% de couverture vaccinale au VAR 2, alors que celle-ci était de moins de 50% au Angola, Cameroun, Congo, RDC, et Tchad.</w:t>
      </w:r>
    </w:p>
    <w:p>
      <w:pPr>
        <w:pStyle w:val="BodyText"/>
      </w:pPr>
      <w:r>
        <w:t xml:space="preserve">Seuls 03 pays ont introduit le VPI 2 dans le PEV : Cameroun, RDC, et Tchad. Les couvertures vaccinales au VPI2 dans ces pays étant de 47% au Tchad, 60% au RDC, et 71% en Cameroun. La</w:t>
      </w:r>
      <w:r>
        <w:t xml:space="preserve"> </w:t>
      </w:r>
      <w:hyperlink w:anchor="fig-var_vpi2">
        <w:r>
          <w:rPr>
            <w:rStyle w:val="Hyperlink"/>
          </w:rPr>
          <w:t xml:space="preserve">figure 7</w:t>
        </w:r>
      </w:hyperlink>
      <w:r>
        <w:t xml:space="preserve"> </w:t>
      </w:r>
      <w:r>
        <w:t xml:space="preserve">présente les couvertures vaccinales au VPI2 et VAR2.</w:t>
      </w:r>
      <w:r>
        <w:t xml:space="preserve"> </w:t>
      </w:r>
      <w:r>
        <w:t xml:space="preserve">Dans certains pays l’administration du VAR1 et 2 se fait sous forme combinée avec le vaccin à valence rubéole (RR). Il s’agit du Cameroun, Congo, STP, Burundi et Angola.</w:t>
      </w:r>
    </w:p>
    <w:bookmarkEnd w:id="60"/>
    <w:bookmarkEnd w:id="61"/>
    <w:bookmarkStart w:id="71" w:name="X5f8aeb5a2983c94852832298840c196a74917a4"/>
    <w:p>
      <w:pPr>
        <w:pStyle w:val="Heading3"/>
      </w:pPr>
      <w:r>
        <w:t xml:space="preserve">4.4 Couvertures vaccinales administratives et estimations de l’OMS et UNICEF en 2023</w:t>
      </w:r>
    </w:p>
    <w:p>
      <w:pPr>
        <w:pStyle w:val="FirstParagraph"/>
      </w:pPr>
      <w:r>
        <w:t xml:space="preserve">La</w:t>
      </w:r>
      <w:r>
        <w:t xml:space="preserve"> </w:t>
      </w:r>
      <w:hyperlink w:anchor="fig-wuenic">
        <w:r>
          <w:rPr>
            <w:rStyle w:val="Hyperlink"/>
          </w:rPr>
          <w:t xml:space="preserve">figure 8</w:t>
        </w:r>
      </w:hyperlink>
      <w:r>
        <w:t xml:space="preserve"> </w:t>
      </w:r>
      <w:r>
        <w:t xml:space="preserve">montre une comparaison des couvertures vaccinales administratives au DTC3 et VAR1 aux estimations de l’OMS et UNICEF (WUENIC) en 2023.</w:t>
      </w:r>
    </w:p>
    <w:tbl>
      <w:tblPr>
        <w:tblStyle w:val="Table"/>
        <w:tblW w:type="pct" w:w="5000"/>
        <w:tblLayout w:type="fixed"/>
        <w:tblLook w:firstRow="0" w:lastRow="0" w:firstColumn="0" w:lastColumn="0" w:noHBand="0" w:noVBand="0" w:val="0000"/>
      </w:tblPr>
      <w:tblGrid>
        <w:gridCol w:w="7920"/>
      </w:tblGrid>
      <w:tr>
        <w:tc>
          <w:tcPr/>
          <w:bookmarkStart w:id="70" w:name="fig-wuenic"/>
          <w:tbl>
            <w:tblPr>
              <w:tblStyle w:val="Table"/>
              <w:tblW w:type="pct" w:w="5000"/>
              <w:tblLayout w:type="fixed"/>
              <w:tblLook w:firstRow="0" w:lastRow="0" w:firstColumn="0" w:lastColumn="0" w:noHBand="0" w:noVBand="0" w:val="0000"/>
            </w:tblPr>
            <w:tblGrid>
              <w:gridCol w:w="7920"/>
            </w:tblGrid>
            <w:tr>
              <w:tc>
                <w:tcPr/>
                <w:bookmarkStart w:id="65" w:name="fig-wuenic-1"/>
                <w:p>
                  <w:pPr>
                    <w:pStyle w:val="Compact"/>
                    <w:jc w:val="center"/>
                    <w:jc w:val="center"/>
                  </w:pPr>
                  <w:r>
                    <w:drawing>
                      <wp:inline>
                        <wp:extent cx="5943600" cy="4953000"/>
                        <wp:effectExtent b="0" l="0" r="0" t="0"/>
                        <wp:docPr descr="" title="" id="63" name="Picture"/>
                        <a:graphic>
                          <a:graphicData uri="http://schemas.openxmlformats.org/drawingml/2006/picture">
                            <pic:pic>
                              <pic:nvPicPr>
                                <pic:cNvPr descr="figures/fig-wuenic-1.png" id="64" name="Picture"/>
                                <pic:cNvPicPr>
                                  <a:picLocks noChangeArrowheads="1" noChangeAspect="1"/>
                                </pic:cNvPicPr>
                              </pic:nvPicPr>
                              <pic:blipFill>
                                <a:blip r:embed="rId62"/>
                                <a:stretch>
                                  <a:fillRect/>
                                </a:stretch>
                              </pic:blipFill>
                              <pic:spPr bwMode="auto">
                                <a:xfrm>
                                  <a:off x="0" y="0"/>
                                  <a:ext cx="5943600" cy="4953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DTC3</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fig-wuenic-2"/>
                <w:p>
                  <w:pPr>
                    <w:pStyle w:val="Compact"/>
                    <w:jc w:val="center"/>
                    <w:jc w:val="center"/>
                  </w:pPr>
                  <w:r>
                    <w:drawing>
                      <wp:inline>
                        <wp:extent cx="5943600" cy="4953000"/>
                        <wp:effectExtent b="0" l="0" r="0" t="0"/>
                        <wp:docPr descr="" title="" id="67" name="Picture"/>
                        <a:graphic>
                          <a:graphicData uri="http://schemas.openxmlformats.org/drawingml/2006/picture">
                            <pic:pic>
                              <pic:nvPicPr>
                                <pic:cNvPr descr="figures/fig-wuenic-2.png" id="68" name="Picture"/>
                                <pic:cNvPicPr>
                                  <a:picLocks noChangeArrowheads="1" noChangeAspect="1"/>
                                </pic:cNvPicPr>
                              </pic:nvPicPr>
                              <pic:blipFill>
                                <a:blip r:embed="rId66"/>
                                <a:stretch>
                                  <a:fillRect/>
                                </a:stretch>
                              </pic:blipFill>
                              <pic:spPr bwMode="auto">
                                <a:xfrm>
                                  <a:off x="0" y="0"/>
                                  <a:ext cx="5943600" cy="4953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VAR1</w:t>
                  </w:r>
                </w:p>
                <w:bookmarkEnd w:id="69"/>
              </w:tc>
            </w:tr>
          </w:tbl>
          <w:p>
            <w:pPr>
              <w:jc w:val="center"/>
            </w:pPr>
            <w:pPr>
              <w:jc w:val="start"/>
              <w:spacing w:before="200"/>
              <w:pStyle w:val="ImageCaption"/>
            </w:pPr>
            <w:r>
              <w:t xml:space="preserve">Figure 8: Comparaison des couvertures vaccinales des estimations WUENIC et des données administratives</w:t>
            </w:r>
          </w:p>
          <w:bookmarkEnd w:id="70"/>
        </w:tc>
      </w:tr>
    </w:tbl>
    <w:p>
      <w:pPr>
        <w:pStyle w:val="BodyText"/>
      </w:pPr>
      <w:r>
        <w:t xml:space="preserve">Les estimations WUENIC pour les deux antigènes sont similaires aux couvertures vaccinales administratives dans 4 pays: Congo, Gabon, Guinée Équatoriale et STP. Dans 5 pays, les estimations WUENIC sont nettement inférieures aux couvertures administratives : Angola, RCA, Cameroun, RDC, et Tchad. Dans ces pays les couvertures administratives ont été réduites pour obtenir les estimations WUENIC pour plusieurs raisons : calibration aux estimations antérieures, prise en compte des résultats des enquêtes de couverture vaccinale ou enquête démographique et de santé, notification de rupture de stocks de vaccins, qualité insuffisante des données sur la vaccination. Le Burundi est le seul pays où les estimations WUENIC en 2023 étaient supérieures aux couvertures administratives. Cette situation est la conséquence d’une calibration aux estimations antérieures et de la prise en compte du fait que le mode de calcul des populations cibles pourrait avoir engendré une augmentation de 17.0% desdites cibles.</w:t>
      </w:r>
    </w:p>
    <w:bookmarkEnd w:id="71"/>
    <w:bookmarkStart w:id="81" w:name="enfant-non-et-insuffisamment-vacciné"/>
    <w:p>
      <w:pPr>
        <w:pStyle w:val="Heading3"/>
      </w:pPr>
      <w:r>
        <w:t xml:space="preserve">4.5 Enfant non et insuffisamment vacciné</w:t>
      </w:r>
    </w:p>
    <w:bookmarkStart w:id="73" w:name="X8401af88f86e1c0511f1dedf6936078b41633f8"/>
    <w:p>
      <w:pPr>
        <w:pStyle w:val="Heading4"/>
      </w:pPr>
      <w:r>
        <w:t xml:space="preserve">4.5.1 Cumul des enfants zéro-dose et insuffisamment vaccinés de 2019 à 2023</w:t>
      </w:r>
    </w:p>
    <w:p>
      <w:pPr>
        <w:pStyle w:val="FirstParagraph"/>
      </w:pPr>
      <w:r>
        <w:t xml:space="preserve">Considérant les estimations des couvertures vaccinales WUENIC et les estimations des survivants par la Division Population des Nations Unies, l’Afrique centrale a enregistré de 2019 à 2023 un total de 8875299 enfants zéro-dose et 520 4168 insuffisamment vaccinés, soit 13 899 467 enfants non ou insuffisamment vaccinés (</w:t>
      </w:r>
      <w:hyperlink w:anchor="tbl-cumzd">
        <w:r>
          <w:rPr>
            <w:rStyle w:val="Hyperlink"/>
          </w:rPr>
          <w:t xml:space="preserve">tableau 2</w:t>
        </w:r>
      </w:hyperlink>
      <w:r>
        <w:t xml:space="preserve">). La RDC, l’Angola, le Tchad et le Cameroun abritent 92.0% des enfants non et sous vaccinés de la sous-région.</w:t>
      </w:r>
    </w:p>
    <w:tbl>
      <w:tblPr>
        <w:tblStyle w:val="Table"/>
        <w:tblW w:type="pct" w:w="5000"/>
        <w:tblLayout w:type="fixed"/>
        <w:tblLook w:firstRow="0" w:lastRow="0" w:firstColumn="0" w:lastColumn="0" w:noHBand="0" w:noVBand="0" w:val="0000"/>
      </w:tblPr>
      <w:tblGrid>
        <w:gridCol w:w="7920"/>
      </w:tblGrid>
      <w:tr>
        <w:tc>
          <w:tcPr/>
          <w:bookmarkStart w:id="72" w:name="tbl-cumzd"/>
          <w:p>
            <w:pPr>
              <w:jc w:val="center"/>
            </w:pPr>
            <w:pPr>
              <w:jc w:val="start"/>
              <w:spacing w:before="200"/>
              <w:pStyle w:val="ImageCaption"/>
            </w:pPr>
            <w:r>
              <w:t xml:space="preserve">Tableau 2: Cumul des enfants zéro-doses et insuffisamment vaccinés de 2019 à 2023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Zéro doses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Insuffisamment vaccinés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#Non et insuffisamment vaccinés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%Non et insuffisamment vaccinés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Cumul Non et insuffisamment vaccinés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cumulé Non et insuffisamment vaccinés</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3 635 804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3 049 666</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6 685 470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6 685 470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2 467 451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743 878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3 211 329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9 896 799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71</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817 250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742 938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1 560 188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11 456 987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82</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1 087 926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243 275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1 331 201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12 788 188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92</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484 611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126 421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611 032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13 399 220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96</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172 579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34 224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206 803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13 606 023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97</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119 505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56 861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176 366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13 782 389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98</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93 676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14 700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108 376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13 890 765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99</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Guinée 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59 334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24 675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84 009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13 974 774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100</w:t>
                  </w:r>
                </w:p>
              </w:tc>
            </w:tr>
            <w:tr>
              <w:trPr>
                <w:trHeight w:val="6336" w:hRule="auto"/>
              </w:trPr>
              body10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1 966</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185</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2 151</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13 976 925</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100</w:t>
                  </w:r>
                </w:p>
              </w:tc>
            </w:tr>
          </w:tbl>
          <w:bookmarkEnd w:id="72"/>
        </w:tc>
      </w:tr>
    </w:tbl>
    <w:bookmarkEnd w:id="73"/>
    <w:bookmarkStart w:id="75" w:name="Xe1d7bd82ec52a579f5f04b1c915994f9003cfed"/>
    <w:p>
      <w:pPr>
        <w:pStyle w:val="Heading4"/>
      </w:pPr>
      <w:r>
        <w:t xml:space="preserve">4.5.2 Enfants zéro-dose et sous-vaccinés enregistrés en 2024</w:t>
      </w:r>
    </w:p>
    <w:p>
      <w:pPr>
        <w:pStyle w:val="FirstParagraph"/>
      </w:pPr>
      <w:r>
        <w:t xml:space="preserve">Le</w:t>
      </w:r>
      <w:r>
        <w:t xml:space="preserve"> </w:t>
      </w:r>
      <w:hyperlink w:anchor="tbl-under_im">
        <w:r>
          <w:rPr>
            <w:rStyle w:val="Hyperlink"/>
          </w:rPr>
          <w:t xml:space="preserve">tableau 3</w:t>
        </w:r>
      </w:hyperlink>
      <w:r>
        <w:t xml:space="preserve"> </w:t>
      </w:r>
      <w:r>
        <w:t xml:space="preserve">présente la distribution des enfants zéro-dose et insuffisamment vaccinés enregistrés en 2024 au dernier mois des données de chaque pays. Au total 926 927 enfants non et insuffisamment vaccinés additionnels ont été enregistré en 2024 (671 444 enfants zéro-dose et 255 483 insuffisamment vaccinés). Ces enfants représentent 24.5% de la cible du PEV pour la période. Les plus grands nombres d’enfants zéro dose ont été observés en RDC (419 078), Angola (83 614), Cameroun (71 424), et Burundi (39 348). Tandis que le Gabon (44.0%), STP (39.0%), Angola (23.0%), Congo (22.0%), RDC (19.0%), et Burundi (19.0%) ont été les pays avec les plus grandes proportions d’enfants zéro dose.</w:t>
      </w:r>
    </w:p>
    <w:p>
      <w:pPr>
        <w:pStyle w:val="BodyText"/>
      </w:pPr>
      <w:r>
        <w:t xml:space="preserve">Un total estimé de 255 483 enfants n’a pas encore reçu de DTC3 après avoir reçu le DTC1, soit 7.0% de la cible du PEV à la fin juin 2024. La RDC (119 232), Angola (43 390), Tchad (39 604), Cameroun (28 189), et Burundi (9 244) ont enregistré le plus grand nombre d’enfants insuffisamment vaccinés. L’Angola (12.0%), Guinee_Eq (12.0%), Tchad (11.0%), RCA (11.0%), et Cameroun (7.0%) ont enregistré les proportions des enfants insuffisamment vaccinés parmi la population cible les plus élevées.</w:t>
      </w:r>
    </w:p>
    <w:tbl>
      <w:tblPr>
        <w:tblStyle w:val="Table"/>
        <w:tblW w:type="pct" w:w="5000"/>
        <w:tblLayout w:type="fixed"/>
        <w:tblLook w:firstRow="0" w:lastRow="0" w:firstColumn="0" w:lastColumn="0" w:noHBand="0" w:noVBand="0" w:val="0000"/>
      </w:tblPr>
      <w:tblGrid>
        <w:gridCol w:w="7920"/>
      </w:tblGrid>
      <w:tr>
        <w:tc>
          <w:tcPr/>
          <w:bookmarkStart w:id="74" w:name="tbl-under_im"/>
          <w:p>
            <w:pPr>
              <w:jc w:val="center"/>
            </w:pPr>
            <w:pPr>
              <w:jc w:val="start"/>
              <w:spacing w:before="200"/>
              <w:pStyle w:val="ImageCaption"/>
            </w:pPr>
            <w:r>
              <w:t xml:space="preserve">Tableau 3: Distribution des enfants zéro-dose et insuffisamment vaccinés par le vaccin DTC1 et DTC3 dans les pays de l’Afrique centrale (janvier-juin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survivants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#Zero dose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zero_dose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Perdus de vue DTP1-DTP3</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%Perdus de vue DTP1-DTP3</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2 219 202</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419 078</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119 232</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361 327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83 614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43 390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426 890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71 424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28 189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205 860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39 348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9 244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89 862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20 144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5 262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364 180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18 489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39 604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34 100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14 952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1 499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72 500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7 978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1 074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r>
            <w:tr>
              <w:trPr>
                <w:trHeight w:val="6336" w:hRule="auto"/>
              </w:trPr>
              body10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r>
            <w:tr>
              <w:trPr>
                <w:trHeight w:val="6336" w:hRule="auto"/>
              </w:trPr>
              body11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3 784 068</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671 444</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255 483</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w:t>
                  </w:r>
                </w:p>
              </w:tc>
            </w:tr>
          </w:tbl>
          <w:bookmarkEnd w:id="74"/>
        </w:tc>
      </w:tr>
    </w:tbl>
    <w:bookmarkEnd w:id="75"/>
    <w:bookmarkStart w:id="77" w:name="Xe432f126af1ad6676b4d904ba0bccab592455a7"/>
    <w:p>
      <w:pPr>
        <w:pStyle w:val="Heading4"/>
      </w:pPr>
      <w:r>
        <w:t xml:space="preserve">4.5.3 Rattrapage des enfants non et insuffisamment vaccinés de la cohorte 2023</w:t>
      </w:r>
    </w:p>
    <w:p>
      <w:pPr>
        <w:pStyle w:val="FirstParagraph"/>
      </w:pPr>
      <w:r>
        <w:t xml:space="preserve">Le</w:t>
      </w:r>
      <w:r>
        <w:t xml:space="preserve"> </w:t>
      </w:r>
      <w:hyperlink w:anchor="tbl-rattrapage">
        <w:r>
          <w:rPr>
            <w:rStyle w:val="Hyperlink"/>
          </w:rPr>
          <w:t xml:space="preserve">tableau 4</w:t>
        </w:r>
      </w:hyperlink>
      <w:r>
        <w:t xml:space="preserve"> </w:t>
      </w:r>
      <w:r>
        <w:t xml:space="preserve">présente la situation du rattrapage en 2024 des enfants zéro-dose et non-vaccinés pour les antigènes DTC1 et VAR1 de la cohorte de 2023.</w:t>
      </w:r>
    </w:p>
    <w:tbl>
      <w:tblPr>
        <w:tblStyle w:val="Table"/>
        <w:tblW w:type="pct" w:w="5000"/>
        <w:tblLayout w:type="fixed"/>
        <w:tblLook w:firstRow="0" w:lastRow="0" w:firstColumn="0" w:lastColumn="0" w:noHBand="0" w:noVBand="0" w:val="0000"/>
      </w:tblPr>
      <w:tblGrid>
        <w:gridCol w:w="7920"/>
      </w:tblGrid>
      <w:tr>
        <w:tc>
          <w:tcPr/>
          <w:bookmarkStart w:id="76" w:name="tbl-rattrapage"/>
          <w:p>
            <w:pPr>
              <w:jc w:val="center"/>
            </w:pPr>
            <w:pPr>
              <w:jc w:val="start"/>
              <w:spacing w:before="200"/>
              <w:pStyle w:val="ImageCaption"/>
            </w:pPr>
            <w:r>
              <w:t xml:space="preserve">Tableau 4: Rattrapage des enfants non et insuffisamment vaccinés de janvier à juin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Zero dose en 2023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par Penta1 chez les 12 mois+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par Penta1 chez les 12 mois+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Non vaccinés par VAR en 2023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par MCV1 chez les 12 mois+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par VAR1 chez les 12 mois+</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87 703</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128 574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30 330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23.6</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35 668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33 899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27 313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33 308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14 125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1 788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415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23.2</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8 419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367 017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37 140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455 994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65 603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14.4</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20 025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4 826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43 837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14 852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33.9</w:t>
                  </w:r>
                </w:p>
              </w:tc>
            </w:tr>
            <w:tr>
              <w:trPr>
                <w:trHeight w:val="6336" w:hRule="auto"/>
              </w:trPr>
              body10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60 250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92 491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5 017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w:t>
                  </w:r>
                </w:p>
              </w:tc>
            </w:tr>
            <w:tr>
              <w:trPr>
                <w:trHeight w:val="6336" w:hRule="auto"/>
              </w:trPr>
              body11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616 424</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44 300</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7.2</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812 771</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116 546</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14.3</w:t>
                  </w:r>
                </w:p>
              </w:tc>
            </w:tr>
          </w:tbl>
          <w:bookmarkEnd w:id="76"/>
        </w:tc>
      </w:tr>
    </w:tbl>
    <w:p>
      <w:pPr>
        <w:pStyle w:val="BodyText"/>
      </w:pPr>
      <w:r>
        <w:t xml:space="preserve">Cinq pays sur 10 ont soumis à l’IST-CA les données sur les enfants de 12-23 mois vaccinés en 2024 par le DTC1, correspondant aux enfants zéro-dose de la cohorte 2023 (RDC, Tchad, Guinée Équatoriale et Cameroun). Le pourcentage d’enfants zéro-dose de la cohorte 2023 vaccinés en 2024 au DTC1 est resté très faible 7.2% en Afrique centrale. Par pays, cette proportion était de 24% au Tchad, 19,6% en Guinée Équatoriale, 10% en RDC, 6% au Gabon et 3,6% au Cameroun. Concernant le vaccin antirougeoleux, 14.34% d’enfants non vaccinés en 2023 ont été rattrapés en 2024. Il convient de noter que l’Angola, le Burundi, le Congo, la RCA et STP, n’ont pour le moment pas partagé les données sur le rattrapage des enfants non et insuffisamment vaccinés.</w:t>
      </w:r>
    </w:p>
    <w:bookmarkEnd w:id="77"/>
    <w:bookmarkStart w:id="79" w:name="préparation-au-grand-rattrapage"/>
    <w:p>
      <w:pPr>
        <w:pStyle w:val="Heading4"/>
      </w:pPr>
      <w:r>
        <w:t xml:space="preserve">4.5.4 Préparation au Grand Rattrapage</w:t>
      </w:r>
    </w:p>
    <w:p>
      <w:pPr>
        <w:pStyle w:val="FirstParagraph"/>
      </w:pPr>
      <w:r>
        <w:t xml:space="preserve">Cinq pays de l’Afrique centrale sont prioritaires pour l’appui au Grand Rattrapage (BCU) : RDC, Cameroun, Tchad, RCA et Burundi. Les plans de BCU de ces pays ont déjà été approuvés par le Groupe Régional de Travail (RWG) et Gavi. Le</w:t>
      </w:r>
      <w:r>
        <w:t xml:space="preserve"> </w:t>
      </w:r>
      <w:hyperlink w:anchor="tbl-bcu">
        <w:r>
          <w:rPr>
            <w:rStyle w:val="Hyperlink"/>
          </w:rPr>
          <w:t xml:space="preserve">tableau 5</w:t>
        </w:r>
      </w:hyperlink>
      <w:r>
        <w:t xml:space="preserve"> </w:t>
      </w:r>
      <w:r>
        <w:t xml:space="preserve">présente la situation des doses relatives au BCU approuvées et livrées.</w:t>
      </w:r>
    </w:p>
    <w:tbl>
      <w:tblPr>
        <w:tblStyle w:val="Table"/>
        <w:tblW w:type="pct" w:w="5000"/>
        <w:tblLayout w:type="fixed"/>
        <w:tblLook w:firstRow="0" w:lastRow="0" w:firstColumn="0" w:lastColumn="0" w:noHBand="0" w:noVBand="0" w:val="0000"/>
      </w:tblPr>
      <w:tblGrid>
        <w:gridCol w:w="7920"/>
      </w:tblGrid>
      <w:tr>
        <w:tc>
          <w:tcPr/>
          <w:bookmarkStart w:id="78" w:name="tbl-bcu"/>
          <w:p>
            <w:pPr>
              <w:jc w:val="center"/>
            </w:pPr>
            <w:pPr>
              <w:jc w:val="start"/>
              <w:spacing w:before="200"/>
              <w:pStyle w:val="ImageCaption"/>
            </w:pPr>
            <w:r>
              <w:t xml:space="preserve">Tableau 5: Total de doses de vaccins pour le Grand rattrapage approuvées et livrées pour les 5 pays de l’Afrique centrale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gridCol w:w="1253"/>
              <w:gridCol w:w="1253"/>
              <w:gridCol w:w="1253"/>
              <w:gridCol w:w="1253"/>
              <w:gridCol w:w="1253"/>
            </w:tblGrid>
            <w:tr>
              <w:trPr>
                <w:trHeight w:val="6336" w:hRule="auto"/>
                <w:tblHeader/>
              </w:trPr>
              header1
              <w:tc>
                <w:tcPr>
                  <w:gridSpan w:val="5"/>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de vaccins</w:t>
                  </w:r>
                </w:p>
              </w:tc>
              <w:tc>
                <w:tcPr>
                  <w:gridSpan w:val="7"/>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Antigènes</w:t>
                  </w:r>
                </w:p>
              </w:tc>
            </w:tr>
            <w:tr>
              <w:trPr>
                <w:trHeight w:val="6336" w:hRule="auto"/>
                <w:tblHeader/>
              </w:trPr>
              header2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Plan Approuvé</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Approuvées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Livrées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Doses Livrées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Penta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VPI</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VAR</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PCV</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VAA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Rota</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MenA</w:t>
                  </w:r>
                </w:p>
              </w:tc>
            </w:tr>
            <w:tr>
              <w:trPr>
                <w:trHeight w:val="6336" w:hRule="auto"/>
              </w:trPr>
              body1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6 402 618</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3 428 534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r>
              <w:trPr>
                <w:trHeight w:val="6336" w:hRule="auto"/>
              </w:trPr>
              body2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3 420 848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1 251 700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r>
              <w:trPr>
                <w:trHeight w:val="6336" w:hRule="auto"/>
              </w:trPr>
              body3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5 142 100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838 600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r>
            <w:tr>
              <w:trPr>
                <w:trHeight w:val="6336" w:hRule="auto"/>
              </w:trPr>
              body4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2 714 700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r>
              <w:trPr>
                <w:trHeight w:val="6336" w:hRule="auto"/>
              </w:trPr>
              body5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bl>
          <w:bookmarkEnd w:id="78"/>
        </w:tc>
      </w:tr>
    </w:tbl>
    <w:bookmarkEnd w:id="79"/>
    <w:bookmarkStart w:id="80" w:name="Xfed6553e0289d28ab1cd0cd6e54b7d2d12c4f91"/>
    <w:p>
      <w:pPr>
        <w:pStyle w:val="Heading4"/>
      </w:pPr>
      <w:r>
        <w:t xml:space="preserve">4.5.5 Activités d’intensification de la vaccination de routine</w:t>
      </w:r>
    </w:p>
    <w:p>
      <w:pPr>
        <w:pStyle w:val="FirstParagraph"/>
      </w:pPr>
      <w:r>
        <w:t xml:space="preserve">Seul le Gabon a organisé une campagne d’intensification de la vaccination de routine du 14 au 18 juin 2024. Tous les antigènes du PEV ont été administrés. Le nombre d’enfants de 0-11 mois vaccinés était de 2 107 au DTC1 sur 11 109 ciblés (19.0%), 3 023 sur 11 792 ciblés (26.0%) au DTC3 et 3 923 sur 11 702 ciblés (34.0%) au VAR1.</w:t>
      </w:r>
    </w:p>
    <w:p>
      <w:r>
        <w:br w:type="page"/>
      </w:r>
    </w:p>
    <w:bookmarkEnd w:id="80"/>
    <w:bookmarkEnd w:id="81"/>
    <w:bookmarkStart w:id="89" w:name="vaccin-contre-le-paludisme"/>
    <w:p>
      <w:pPr>
        <w:pStyle w:val="Heading3"/>
      </w:pPr>
      <w:r>
        <w:t xml:space="preserve">4.6 Vaccin contre le paludisme</w:t>
      </w:r>
    </w:p>
    <w:bookmarkStart w:id="83" w:name="X3fe1348834803393eda33e667fc494ffa8d36c9"/>
    <w:p>
      <w:pPr>
        <w:pStyle w:val="Heading4"/>
      </w:pPr>
      <w:r>
        <w:t xml:space="preserve">4.6.1 État de l’introduction du vaccin contre le paludisme dans les pays</w:t>
      </w:r>
    </w:p>
    <w:p>
      <w:pPr>
        <w:pStyle w:val="FirstParagraph"/>
      </w:pPr>
      <w:r>
        <w:t xml:space="preserve">Le Cameroun est le seul pays de la région à avoir déjà introduit le vaccin contre le paludisme (VAP) dans son PEV. Quatre autres pays ont prévu d’introduire le VAP au cours du deuxième semestre 2024 ou du premier semestre 2025. Le</w:t>
      </w:r>
      <w:r>
        <w:t xml:space="preserve"> </w:t>
      </w:r>
      <w:hyperlink w:anchor="tbl-malaria_reg">
        <w:r>
          <w:rPr>
            <w:rStyle w:val="Hyperlink"/>
          </w:rPr>
          <w:t xml:space="preserve">tableau 6</w:t>
        </w:r>
      </w:hyperlink>
      <w:r>
        <w:t xml:space="preserve"> </w:t>
      </w:r>
      <w:r>
        <w:t xml:space="preserve">résume les informations sur l’introduction du VAP dans les 5 pays de l’Afrique centrale.</w:t>
      </w:r>
    </w:p>
    <w:tbl>
      <w:tblPr>
        <w:tblStyle w:val="Table"/>
        <w:tblW w:type="pct" w:w="5000"/>
        <w:tblLayout w:type="fixed"/>
        <w:tblLook w:firstRow="0" w:lastRow="0" w:firstColumn="0" w:lastColumn="0" w:noHBand="0" w:noVBand="0" w:val="0000"/>
      </w:tblPr>
      <w:tblGrid>
        <w:gridCol w:w="7920"/>
      </w:tblGrid>
      <w:tr>
        <w:tc>
          <w:tcPr/>
          <w:bookmarkStart w:id="82" w:name="tbl-malaria_reg"/>
          <w:p>
            <w:pPr>
              <w:jc w:val="center"/>
            </w:pPr>
            <w:pPr>
              <w:jc w:val="start"/>
              <w:spacing w:before="200"/>
              <w:pStyle w:val="ImageCaption"/>
            </w:pPr>
            <w:r>
              <w:t xml:space="preserve">Tableau 6: Informations sur l’introduction du VAP dans 5 pays de l’Afrique centrale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tblGrid>
            <w:tr>
              <w:trPr>
                <w:trHeight w:val="6336" w:hRule="auto"/>
                <w:tblHeader/>
              </w:trPr>
              header1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Type de Produit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Date prévue pour le lancement de la vaccination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allouées (2024&amp;2025)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livrées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livrées</w:t>
                  </w:r>
                </w:p>
              </w:tc>
            </w:tr>
            <w:tr>
              <w:trPr>
                <w:trHeight w:val="6336" w:hRule="auto"/>
              </w:trPr>
              body1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RTS,S</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21 janvier 2024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1 387 045</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647 800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47</w:t>
                  </w:r>
                </w:p>
              </w:tc>
            </w:tr>
            <w:tr>
              <w:trPr>
                <w:trHeight w:val="6336" w:hRule="auto"/>
              </w:trPr>
              body2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1 437 942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693 500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w:t>
                  </w:r>
                </w:p>
              </w:tc>
            </w:tr>
            <w:tr>
              <w:trPr>
                <w:trHeight w:val="6336" w:hRule="auto"/>
              </w:trPr>
              body3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 août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452 083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163 800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w:t>
                  </w:r>
                </w:p>
              </w:tc>
            </w:tr>
            <w:tr>
              <w:trPr>
                <w:trHeight w:val="6336" w:hRule="auto"/>
              </w:trPr>
              body4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À déterminer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1 445 427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r>
            <w:tr>
              <w:trPr>
                <w:trHeight w:val="6336" w:hRule="auto"/>
              </w:trPr>
              body5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R21</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Octobre 2024</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553 306</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157 900</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29</w:t>
                  </w:r>
                </w:p>
              </w:tc>
            </w:tr>
          </w:tbl>
          <w:bookmarkEnd w:id="82"/>
        </w:tc>
      </w:tr>
    </w:tbl>
    <w:p>
      <w:pPr>
        <w:pStyle w:val="BodyText"/>
      </w:pPr>
      <w:r>
        <w:t xml:space="preserve">Au Cameroun, en fin juillet 2024, soit six mois après le lancement de la vaccination, 71401 enfants ont été vaccinés. Les couvertures vaccinales étaient de 50.0% au VAP 1, 26.0% au VAP 2, et 7.0% au VAP 3. Le Cameroun a conduit une mini-évaluation post-introduction en Mai-Juin 2024. Cette évaluation a identifié les causes suivantes de la faible couverture vaccinale et de fortes proportions d’enfants perdus de vue après la première dose : (i) le calendrier vaccinal avec la première et la deuxième dose ne correspondant pas à l’administration des autres antigènes du calendrier vaccinal (ii) l’insuffisance d’investissements dans la génération de la demande et le tracking des perdus de vue (iii) l’insuffisance de l’utilisation de l’approche des opportunités manquées.</w:t>
      </w:r>
    </w:p>
    <w:bookmarkEnd w:id="83"/>
    <w:bookmarkStart w:id="88" w:name="autres-vaccins"/>
    <w:p>
      <w:pPr>
        <w:pStyle w:val="Heading4"/>
      </w:pPr>
      <w:r>
        <w:t xml:space="preserve">4.6.2 Autres Vaccins</w:t>
      </w:r>
    </w:p>
    <w:p>
      <w:pPr>
        <w:pStyle w:val="FirstParagraph"/>
      </w:pPr>
      <w:r>
        <w:t xml:space="preserve">Les vaccins suivants ont été introduits dans les pays de l’Afrique centrale de 2019 à 2023 : HPV (Cameroun), Rota (RDC), Rubéole (Congo), VAR2 (Cameroun, Congo, Tchad et RDC) et VPI2 (Tchad, RDC, Cameroun, Angola) (</w:t>
      </w:r>
      <w:hyperlink w:anchor="fig-plan">
        <w:r>
          <w:rPr>
            <w:rStyle w:val="Hyperlink"/>
          </w:rPr>
          <w:t xml:space="preserve">figure 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plan"/>
          <w:p>
            <w:pPr>
              <w:pStyle w:val="Compact"/>
              <w:jc w:val="center"/>
            </w:pPr>
            <w:r>
              <w:drawing>
                <wp:inline>
                  <wp:extent cx="5943600" cy="5943600"/>
                  <wp:effectExtent b="0" l="0" r="0" t="0"/>
                  <wp:docPr descr="" title="" id="85" name="Picture"/>
                  <a:graphic>
                    <a:graphicData uri="http://schemas.openxmlformats.org/drawingml/2006/picture">
                      <pic:pic>
                        <pic:nvPicPr>
                          <pic:cNvPr descr="figures/fig-plan-1.png" id="86"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Plan d’introduction des vaccins dans les pays d’Afrique centrale (2019-2026)</w:t>
            </w:r>
          </w:p>
          <w:bookmarkEnd w:id="87"/>
        </w:tc>
      </w:tr>
    </w:tbl>
    <w:p>
      <w:pPr>
        <w:pStyle w:val="BodyText"/>
      </w:pPr>
      <w:r>
        <w:t xml:space="preserve">Au Tchad l’introduction du PCV13 et du Rota est prévue pour novembre 2024. Le pays a mis en place, avec l’appui de l’OMS, une plateforme de suivi du niveau de préparation à l’échelle nationale et de chaque district. L’introduction du HPV en Angola, initialement prévu le 4 novembre 2024 a été reporté au mois de décembre 2024 pour des raisons logistiques. Une livraison de 1,7 million de doses du vaccin sur les 2,3 millions commandées est prévue en date du 16 septembre 2024. Le panel de suivi des activités de préparation de l’introduction a déjà été mis en place.</w:t>
      </w:r>
      <w:r>
        <w:t xml:space="preserve"> </w:t>
      </w:r>
      <w:r>
        <w:t xml:space="preserve">En Guinée Équatoriale la phase pilote d’introduction du HPV a été lancée en 2024 dans le district de Baney. Le pays est en train de mobiliser les ressources pour la mise à l’échelle.</w:t>
      </w:r>
    </w:p>
    <w:p>
      <w:r>
        <w:br w:type="page"/>
      </w:r>
    </w:p>
    <w:bookmarkEnd w:id="88"/>
    <w:bookmarkEnd w:id="89"/>
    <w:bookmarkEnd w:id="90"/>
    <w:bookmarkStart w:id="155" w:name="X36780354a13235c36077744083fe8667c06ab6f"/>
    <w:p>
      <w:pPr>
        <w:pStyle w:val="Heading2"/>
      </w:pPr>
      <w:r>
        <w:t xml:space="preserve">5 Surveillance des maladies à prévention vaccinale: cas de la rougeole</w:t>
      </w:r>
    </w:p>
    <w:bookmarkStart w:id="92" w:name="Xaffc24d033d6ed0aef594e7425d1da33f39d64a"/>
    <w:p>
      <w:pPr>
        <w:pStyle w:val="Heading3"/>
      </w:pPr>
      <w:r>
        <w:t xml:space="preserve">5.1 Soumission des rapports de surveillance à l’IST-CA</w:t>
      </w:r>
    </w:p>
    <w:p>
      <w:pPr>
        <w:pStyle w:val="FirstParagraph"/>
      </w:pPr>
      <w:r>
        <w:t xml:space="preserve">Le</w:t>
      </w:r>
      <w:r>
        <w:t xml:space="preserve"> </w:t>
      </w:r>
      <w:hyperlink w:anchor="tbl-submissions">
        <w:r>
          <w:rPr>
            <w:rStyle w:val="Hyperlink"/>
          </w:rPr>
          <w:t xml:space="preserve">tableau 7</w:t>
        </w:r>
      </w:hyperlink>
      <w:r>
        <w:t xml:space="preserve"> </w:t>
      </w:r>
      <w:r>
        <w:t xml:space="preserve">fait un récapitulatif de la soumission des rapports de surveillance de la rougeole soumis à l’IST-CA par pays.</w:t>
      </w:r>
    </w:p>
    <w:tbl>
      <w:tblPr>
        <w:tblStyle w:val="Table"/>
        <w:tblW w:type="pct" w:w="5000"/>
        <w:tblLayout w:type="fixed"/>
        <w:tblLook w:firstRow="0" w:lastRow="0" w:firstColumn="0" w:lastColumn="0" w:noHBand="0" w:noVBand="0" w:val="0000"/>
      </w:tblPr>
      <w:tblGrid>
        <w:gridCol w:w="7920"/>
      </w:tblGrid>
      <w:tr>
        <w:tc>
          <w:tcPr/>
          <w:bookmarkStart w:id="91" w:name="tbl-submissions"/>
          <w:p>
            <w:pPr>
              <w:jc w:val="center"/>
            </w:pPr>
            <w:pPr>
              <w:jc w:val="start"/>
              <w:spacing w:before="200"/>
              <w:pStyle w:val="ImageCaption"/>
            </w:pPr>
            <w:r>
              <w:t xml:space="preserve">Tableau 7: Semaines de dernière soumission des rapports à l’IST-CA et date de début des symptômes du dernier cas suspect de rougeole par pays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Semaine épidémiologique des dernières données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Date de début des symptomes du dernier cas</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(19</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06 mai 2024)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18-avril-2024</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(30</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22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14-juillet-2024</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21-juillet-2024</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14-juillet-2024</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02-juillet-2024</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(27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01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19-mai-2024</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16-juillet-2024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19-juillet-2024</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Sao Tome  &amp; Principe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(14</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01 avr.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ND</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vertAlign w:val="superscript"/>
                      <w:sz w:val="20"/>
                      <w:szCs w:val="20"/>
                      <w:color w:val="000000"/>
                    </w:rPr>
                    <w:t xml:space="preserve">1</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Tchad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29 juil. 2024)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06-juillet-2024</w:t>
                  </w:r>
                </w:p>
              </w:tc>
            </w:tr>
            <w:tr>
              <w:trPr>
                <w:trHeight w:val="360" w:hRule="auto"/>
              </w:trPr>
              footer 1
              <w:tc>
                <w:tcPr>
                  <w:gridSpan w:val="3"/>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vertAlign w:val="superscript"/>
                      <w:sz w:val="16"/>
                      <w:szCs w:val="16"/>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 Non disponible</w:t>
                  </w:r>
                </w:p>
              </w:tc>
            </w:tr>
          </w:tbl>
          <w:bookmarkEnd w:id="91"/>
        </w:tc>
      </w:tr>
    </w:tbl>
    <w:p>
      <w:pPr>
        <w:pStyle w:val="BodyText"/>
      </w:pPr>
      <w:r>
        <w:t xml:space="preserve">La proportion des rapports de surveillance de la rougeole reçus par IST-CA au cours des quatre dernières semaines était de 60% (24/40). L’Angola et STP sont les pays qui n’ont soumis aucun rapport sur la période considérée. Les derniers rapports soumis par ces pays remontent à la première semaine du mois de mai 2024 pour l’Angola, la troisième semaine du mois de juin pour STP soumis par l’Angola remonte à la première semaine du mois de mai 2024. Le Cameroun, le Congo, le Gabon et la RCA ont soumis tous les rapports de surveillance attendus.</w:t>
      </w:r>
    </w:p>
    <w:bookmarkEnd w:id="92"/>
    <w:bookmarkStart w:id="116" w:name="Xb92c5d82d6ad2d278a9df610fae84724fc7bba0"/>
    <w:p>
      <w:pPr>
        <w:pStyle w:val="Heading3"/>
      </w:pPr>
      <w:r>
        <w:t xml:space="preserve">5.2 Cas et décès de rougeole enregistrés en 2024</w:t>
      </w:r>
    </w:p>
    <w:p>
      <w:pPr>
        <w:pStyle w:val="FirstParagraph"/>
      </w:pPr>
      <w:r>
        <w:t xml:space="preserve">Le</w:t>
      </w:r>
      <w:r>
        <w:t xml:space="preserve"> </w:t>
      </w:r>
      <w:hyperlink w:anchor="tbl-distevol">
        <w:r>
          <w:rPr>
            <w:rStyle w:val="Hyperlink"/>
          </w:rPr>
          <w:t xml:space="preserve">tableau 8</w:t>
        </w:r>
      </w:hyperlink>
      <w:r>
        <w:t xml:space="preserve"> </w:t>
      </w:r>
      <w:r>
        <w:t xml:space="preserve">présente la distribution des cas de rougeole (confirmés compatibles et avec lien épidémiologique) et des décès par pays de janvier à juillet 2024. Au total 9 280 cas et 144 décès dus à la rougeole ont été enregistrés, en Afrique centrale de depuis le de début de l’année, soit une létalité de 1.55%, selon les données de la surveillance au cas par cas de la rougeole. On constate que 78.3% de cas étaient concentrés dans 3 pays soit 3 698 en RDC (39.8%), 2 547 au Burundi (27.4%), 1 033 au Tchad (11.1%). Les pays suivants ont enregistré des décès: Guinee_Eq (2 décès), Burundi (20 décès), RDC (122 décès).</w:t>
      </w:r>
    </w:p>
    <w:tbl>
      <w:tblPr>
        <w:tblStyle w:val="Table"/>
        <w:tblW w:type="pct" w:w="5000"/>
        <w:tblLayout w:type="fixed"/>
        <w:tblLook w:firstRow="0" w:lastRow="0" w:firstColumn="0" w:lastColumn="0" w:noHBand="0" w:noVBand="0" w:val="0000"/>
      </w:tblPr>
      <w:tblGrid>
        <w:gridCol w:w="7920"/>
      </w:tblGrid>
      <w:tr>
        <w:tc>
          <w:tcPr/>
          <w:bookmarkStart w:id="93" w:name="tbl-distevol"/>
          <w:p>
            <w:pPr>
              <w:jc w:val="center"/>
            </w:pPr>
            <w:pPr>
              <w:jc w:val="start"/>
              <w:spacing w:before="200"/>
              <w:pStyle w:val="ImageCaption"/>
            </w:pPr>
            <w:r>
              <w:t xml:space="preserve">Tableau 8: Cas et décès de rougeole en Afrique centrale de janvier à juillet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Total des cas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des cas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Décédés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Taux de</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létalité</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568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2 547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0.8%</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3 698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9 280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w:t>
                  </w:r>
                </w:p>
              </w:tc>
            </w:tr>
          </w:tbl>
          <w:bookmarkEnd w:id="93"/>
        </w:tc>
      </w:tr>
    </w:tbl>
    <w:p>
      <w:pPr>
        <w:pStyle w:val="BodyText"/>
      </w:pPr>
      <w:r>
        <w:t xml:space="preserve">Le</w:t>
      </w:r>
      <w:r>
        <w:t xml:space="preserve"> </w:t>
      </w:r>
      <w:hyperlink w:anchor="tbl-cases">
        <w:r>
          <w:rPr>
            <w:rStyle w:val="Hyperlink"/>
          </w:rPr>
          <w:t xml:space="preserve">tableau 9</w:t>
        </w:r>
      </w:hyperlink>
      <w:r>
        <w:t xml:space="preserve"> </w:t>
      </w:r>
      <w:r>
        <w:t xml:space="preserve">présente la distribution des cas par classification et par pays. Au total 13 267 suspects ont été notifiés dans les pays de l’Afrique centrale, dont 3 298 de cas IgM+, 5 409 par lien épidémiologique et 600 compatible.</w:t>
      </w:r>
    </w:p>
    <w:tbl>
      <w:tblPr>
        <w:tblStyle w:val="Table"/>
        <w:tblW w:type="pct" w:w="5000"/>
        <w:tblLayout w:type="fixed"/>
        <w:tblLook w:firstRow="0" w:lastRow="0" w:firstColumn="0" w:lastColumn="0" w:noHBand="0" w:noVBand="0" w:val="0000"/>
      </w:tblPr>
      <w:tblGrid>
        <w:gridCol w:w="7920"/>
      </w:tblGrid>
      <w:tr>
        <w:tc>
          <w:tcPr/>
          <w:bookmarkStart w:id="94" w:name="tbl-cases"/>
          <w:p>
            <w:pPr>
              <w:jc w:val="center"/>
            </w:pPr>
            <w:pPr>
              <w:jc w:val="start"/>
              <w:spacing w:before="200"/>
              <w:pStyle w:val="ImageCaption"/>
            </w:pPr>
            <w:r>
              <w:t xml:space="preserve">Tableau 9: Distribution des cas de rougeole selon leur classification par pays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gridCol w:w="1152"/>
              <w:gridCol w:w="1152"/>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Cas suspects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IgM+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Compatibles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Lien epidemiologique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Attente classification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Cas rejetés</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681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113</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67</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697</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169</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150</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31</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136</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1 783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1 954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1 908</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1 603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570</w:t>
                  </w:r>
                </w:p>
              </w:tc>
            </w:tr>
            <w:tr>
              <w:trPr>
                <w:trHeight w:val="6336"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r>
            <w:tr>
              <w:trPr>
                <w:trHeight w:val="6336" w:hRule="auto"/>
              </w:trPr>
              body11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13 267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3 298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5 409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3 841</w:t>
                  </w:r>
                </w:p>
              </w:tc>
            </w:tr>
          </w:tbl>
          <w:bookmarkEnd w:id="94"/>
        </w:tc>
      </w:tr>
    </w:tbl>
    <w:p>
      <w:pPr>
        <w:pStyle w:val="BodyText"/>
      </w:pPr>
      <w:r>
        <w:t xml:space="preserve">La</w:t>
      </w:r>
      <w:r>
        <w:t xml:space="preserve"> </w:t>
      </w:r>
      <w:hyperlink w:anchor="fig-Evolclass">
        <w:r>
          <w:rPr>
            <w:rStyle w:val="Hyperlink"/>
          </w:rPr>
          <w:t xml:space="preserve">figure 10</w:t>
        </w:r>
      </w:hyperlink>
      <w:r>
        <w:t xml:space="preserve"> </w:t>
      </w:r>
      <w:r>
        <w:t xml:space="preserve">montre l’évolution temporelle des cas de rougeole dans les pays de l’IST-CA en 2024. On peut ainsi noter une diminution du nombre de cas rapportés dans tous les pays depuis le mois d’avril 2024.</w:t>
      </w:r>
    </w:p>
    <w:tbl>
      <w:tblPr>
        <w:tblStyle w:val="Table"/>
        <w:tblW w:type="pct" w:w="5000"/>
        <w:tblLayout w:type="fixed"/>
        <w:tblLook w:firstRow="0" w:lastRow="0" w:firstColumn="0" w:lastColumn="0" w:noHBand="0" w:noVBand="0" w:val="0000"/>
      </w:tblPr>
      <w:tblGrid>
        <w:gridCol w:w="7920"/>
      </w:tblGrid>
      <w:tr>
        <w:tc>
          <w:tcPr/>
          <w:bookmarkStart w:id="98" w:name="fig-Evolclass"/>
          <w:p>
            <w:pPr>
              <w:pStyle w:val="Compact"/>
              <w:jc w:val="center"/>
            </w:pPr>
            <w:r>
              <w:drawing>
                <wp:inline>
                  <wp:extent cx="5943600" cy="4953000"/>
                  <wp:effectExtent b="0" l="0" r="0" t="0"/>
                  <wp:docPr descr="" title="" id="96" name="Picture"/>
                  <a:graphic>
                    <a:graphicData uri="http://schemas.openxmlformats.org/drawingml/2006/picture">
                      <pic:pic>
                        <pic:nvPicPr>
                          <pic:cNvPr descr="figures/fig-Evolclass-1.png" id="97" name="Picture"/>
                          <pic:cNvPicPr>
                            <a:picLocks noChangeArrowheads="1" noChangeAspect="1"/>
                          </pic:cNvPicPr>
                        </pic:nvPicPr>
                        <pic:blipFill>
                          <a:blip r:embed="rId95"/>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Présente l’évolution des cas de rougeole par mois en 2024 et par pays</w:t>
            </w:r>
          </w:p>
          <w:bookmarkEnd w:id="98"/>
        </w:tc>
      </w:tr>
    </w:tbl>
    <w:p>
      <w:pPr>
        <w:pStyle w:val="BodyText"/>
      </w:pPr>
      <w:r>
        <w:t xml:space="preserve">Un total de 9 513 cas confirmés de rougeole (IgM+, lien épidémiologique, compatible) ont été recensés depuis le début de l’année dont 822 sur les deux derniers mois, soit 8.6% des cas confirmés enregistrés depuis le début de l’année. L’incidence de la rougeole en Afrique centrale a été de 97.0/1 000 000 habitants de janvier à juillet 2024.</w:t>
      </w:r>
      <w:r>
        <w:t xml:space="preserve"> </w:t>
      </w:r>
      <w:r>
        <w:t xml:space="preserve">La</w:t>
      </w:r>
      <w:r>
        <w:t xml:space="preserve"> </w:t>
      </w:r>
      <w:hyperlink w:anchor="fig-incidence">
        <w:r>
          <w:rPr>
            <w:rStyle w:val="Hyperlink"/>
          </w:rPr>
          <w:t xml:space="preserve">figure 11</w:t>
        </w:r>
      </w:hyperlink>
      <w:r>
        <w:t xml:space="preserve"> </w:t>
      </w:r>
      <w:r>
        <w:t xml:space="preserve">présente la distribution de l’incidence de la rougeole de janvier à juillet 2024 par pays et province. En 2024 si la RDC a rapporté le plus grand nombre de cas absolus la Guinee_Eq avec 516.43 cas/million, Burundi avec 193.06 cas/million sont les pays qui ont enregistré les incidences les plus élevées.</w:t>
      </w:r>
    </w:p>
    <w:tbl>
      <w:tblPr>
        <w:tblStyle w:val="Table"/>
        <w:tblW w:type="pct" w:w="5000"/>
        <w:tblLayout w:type="fixed"/>
        <w:tblLook w:firstRow="0" w:lastRow="0" w:firstColumn="0" w:lastColumn="0" w:noHBand="0" w:noVBand="0" w:val="0000"/>
      </w:tblPr>
      <w:tblGrid>
        <w:gridCol w:w="7920"/>
      </w:tblGrid>
      <w:tr>
        <w:tc>
          <w:tcPr/>
          <w:bookmarkStart w:id="107" w:name="fig-incidence"/>
          <w:tbl>
            <w:tblPr>
              <w:tblStyle w:val="Table"/>
              <w:tblW w:type="pct" w:w="5000"/>
              <w:tblLayout w:type="fixed"/>
              <w:tblLook w:firstRow="0" w:lastRow="0" w:firstColumn="0" w:lastColumn="0" w:noHBand="0" w:noVBand="0" w:val="0000"/>
            </w:tblPr>
            <w:tblGrid>
              <w:gridCol w:w="7920"/>
            </w:tblGrid>
            <w:tr>
              <w:tc>
                <w:tcPr/>
                <w:bookmarkStart w:id="102" w:name="fig-incidence-1"/>
                <w:p>
                  <w:pPr>
                    <w:pStyle w:val="Compact"/>
                    <w:jc w:val="center"/>
                    <w:jc w:val="center"/>
                  </w:pPr>
                  <w:r>
                    <w:drawing>
                      <wp:inline>
                        <wp:extent cx="5943600" cy="4953000"/>
                        <wp:effectExtent b="0" l="0" r="0" t="0"/>
                        <wp:docPr descr="" title="" id="100" name="Picture"/>
                        <a:graphic>
                          <a:graphicData uri="http://schemas.openxmlformats.org/drawingml/2006/picture">
                            <pic:pic>
                              <pic:nvPicPr>
                                <pic:cNvPr descr="figures/fig-incidence-1.png" id="101" name="Picture"/>
                                <pic:cNvPicPr>
                                  <a:picLocks noChangeArrowheads="1" noChangeAspect="1"/>
                                </pic:cNvPicPr>
                              </pic:nvPicPr>
                              <pic:blipFill>
                                <a:blip r:embed="rId99"/>
                                <a:stretch>
                                  <a:fillRect/>
                                </a:stretch>
                              </pic:blipFill>
                              <pic:spPr bwMode="auto">
                                <a:xfrm>
                                  <a:off x="0" y="0"/>
                                  <a:ext cx="5943600" cy="4953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Incidence dans les provinces</w:t>
                  </w:r>
                </w:p>
                <w:bookmarkEnd w:id="102"/>
              </w:tc>
            </w:tr>
          </w:tbl>
          <w:tbl>
            <w:tblPr>
              <w:tblStyle w:val="Table"/>
              <w:tblW w:type="pct" w:w="5000"/>
              <w:tblLayout w:type="fixed"/>
              <w:tblLook w:firstRow="0" w:lastRow="0" w:firstColumn="0" w:lastColumn="0" w:noHBand="0" w:noVBand="0" w:val="0000"/>
            </w:tblPr>
            <w:tblGrid>
              <w:gridCol w:w="7920"/>
            </w:tblGrid>
            <w:tr>
              <w:tc>
                <w:tcPr/>
                <w:bookmarkStart w:id="106" w:name="fig-incidence-2"/>
                <w:p>
                  <w:pPr>
                    <w:pStyle w:val="Compact"/>
                    <w:jc w:val="center"/>
                    <w:jc w:val="center"/>
                  </w:pPr>
                  <w:r>
                    <w:drawing>
                      <wp:inline>
                        <wp:extent cx="5943600" cy="4953000"/>
                        <wp:effectExtent b="0" l="0" r="0" t="0"/>
                        <wp:docPr descr="" title="" id="104" name="Picture"/>
                        <a:graphic>
                          <a:graphicData uri="http://schemas.openxmlformats.org/drawingml/2006/picture">
                            <pic:pic>
                              <pic:nvPicPr>
                                <pic:cNvPr descr="figures/fig-incidence-2.png" id="105" name="Picture"/>
                                <pic:cNvPicPr>
                                  <a:picLocks noChangeArrowheads="1" noChangeAspect="1"/>
                                </pic:cNvPicPr>
                              </pic:nvPicPr>
                              <pic:blipFill>
                                <a:blip r:embed="rId103"/>
                                <a:stretch>
                                  <a:fillRect/>
                                </a:stretch>
                              </pic:blipFill>
                              <pic:spPr bwMode="auto">
                                <a:xfrm>
                                  <a:off x="0" y="0"/>
                                  <a:ext cx="5943600" cy="4953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Incidence à l’échelle nationale</w:t>
                  </w:r>
                </w:p>
                <w:bookmarkEnd w:id="106"/>
              </w:tc>
            </w:tr>
          </w:tbl>
          <w:p>
            <w:pPr>
              <w:jc w:val="center"/>
            </w:pPr>
            <w:pPr>
              <w:jc w:val="start"/>
              <w:spacing w:before="200"/>
              <w:pStyle w:val="ImageCaption"/>
            </w:pPr>
            <w:r>
              <w:t xml:space="preserve">Figure 11: Taux d’incidence de la rougeole dans les pays d’Afrique centrale à la fin juillet 2024</w:t>
            </w:r>
          </w:p>
          <w:bookmarkEnd w:id="107"/>
        </w:tc>
      </w:tr>
    </w:tbl>
    <w:p>
      <w:pPr>
        <w:pStyle w:val="BodyText"/>
      </w:pPr>
      <w:r>
        <w:t xml:space="preserve">La</w:t>
      </w:r>
      <w:r>
        <w:t xml:space="preserve"> </w:t>
      </w:r>
      <w:hyperlink w:anchor="fig-measles_age_dist">
        <w:r>
          <w:rPr>
            <w:rStyle w:val="Hyperlink"/>
          </w:rPr>
          <w:t xml:space="preserve">figure 12</w:t>
        </w:r>
      </w:hyperlink>
      <w:r>
        <w:t xml:space="preserve"> </w:t>
      </w:r>
      <w:r>
        <w:t xml:space="preserve">présente la distribution des cas de rougeole enregistrés depuis le début de l’année 2024 par tranche d’âge et par pays.</w:t>
      </w:r>
    </w:p>
    <w:p>
      <w:pPr>
        <w:pStyle w:val="BodyText"/>
      </w:pPr>
      <w:r>
        <w:t xml:space="preserve">Dans tous les pays, les enfants de moins de un an représentaient la majorité des cas de rougeole(49.0%), les cas de rougeole enregistrés dans les autres tranches d’âge représentaient respectivement 23% du total des cas enregistés dans la sous-région chez les 1-4ans, 12% chez les 4-9 ans, 6% chez les 10-14 ans, et 10% chez les ≥15 ans. La</w:t>
      </w:r>
      <w:r>
        <w:t xml:space="preserve"> </w:t>
      </w:r>
      <w:hyperlink w:anchor="fig-measles_age_dist">
        <w:r>
          <w:rPr>
            <w:rStyle w:val="Hyperlink"/>
          </w:rPr>
          <w:t xml:space="preserve">figure 12</w:t>
        </w:r>
      </w:hyperlink>
      <w:r>
        <w:t xml:space="preserve"> </w:t>
      </w:r>
      <w:r>
        <w:t xml:space="preserve">présente les différentes pyramides d’âge des cas de rougeole des pays en Afrique centrale.</w:t>
      </w:r>
    </w:p>
    <w:tbl>
      <w:tblPr>
        <w:tblStyle w:val="Table"/>
        <w:tblW w:type="pct" w:w="5000"/>
        <w:tblLayout w:type="fixed"/>
        <w:tblLook w:firstRow="0" w:lastRow="0" w:firstColumn="0" w:lastColumn="0" w:noHBand="0" w:noVBand="0" w:val="0000"/>
      </w:tblPr>
      <w:tblGrid>
        <w:gridCol w:w="7920"/>
      </w:tblGrid>
      <w:tr>
        <w:tc>
          <w:tcPr/>
          <w:bookmarkStart w:id="111" w:name="fig-measles_age_dist"/>
          <w:p>
            <w:pPr>
              <w:pStyle w:val="Compact"/>
              <w:jc w:val="center"/>
            </w:pPr>
            <w:r>
              <w:drawing>
                <wp:inline>
                  <wp:extent cx="5943600" cy="4953000"/>
                  <wp:effectExtent b="0" l="0" r="0" t="0"/>
                  <wp:docPr descr="" title="" id="109" name="Picture"/>
                  <a:graphic>
                    <a:graphicData uri="http://schemas.openxmlformats.org/drawingml/2006/picture">
                      <pic:pic>
                        <pic:nvPicPr>
                          <pic:cNvPr descr="figures/fig-measles_age_dist-1.png" id="110" name="Picture"/>
                          <pic:cNvPicPr>
                            <a:picLocks noChangeArrowheads="1" noChangeAspect="1"/>
                          </pic:cNvPicPr>
                        </pic:nvPicPr>
                        <pic:blipFill>
                          <a:blip r:embed="rId108"/>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Pyramides des ages des cas de rougeole des pays de l’Afrique Centrale</w:t>
            </w:r>
          </w:p>
          <w:bookmarkEnd w:id="111"/>
        </w:tc>
      </w:tr>
    </w:tbl>
    <w:p>
      <w:pPr>
        <w:pStyle w:val="BodyText"/>
      </w:pPr>
      <w:r>
        <w:t xml:space="preserve">La médiane des enfants de moins de 5 ans parmi les cas était de 66%, oscillant entre 39% au Gabon et 82% en RDC. Les pays qui ont enregistré les proportions de cas chez les plus de 5 ans ont été Gabon (61%), Tchad (41%), Cameroun (38%), RCA (35%), et Burundi (34%).</w:t>
      </w:r>
    </w:p>
    <w:p>
      <w:pPr>
        <w:pStyle w:val="BodyText"/>
      </w:pPr>
      <w:r>
        <w:t xml:space="preserve">La</w:t>
      </w:r>
      <w:r>
        <w:t xml:space="preserve"> </w:t>
      </w:r>
      <w:hyperlink w:anchor="fig-dose">
        <w:r>
          <w:rPr>
            <w:rStyle w:val="Hyperlink"/>
          </w:rPr>
          <w:t xml:space="preserve">figure 13</w:t>
        </w:r>
      </w:hyperlink>
      <w:r>
        <w:t xml:space="preserve"> </w:t>
      </w:r>
      <w:r>
        <w:t xml:space="preserve">présente le pourcentage de cas de rougeole par statut vaccinal et par pays. Le nombre médian des cas de rougeole chez les enfants non vaccinés ou statut vaccinal inconnu au VAR1 est de 645 (68%). Par pays, les cas enregistrés chez les personnes non vaccinées ou de statut vaccinal inconnu étaient de: 645 ( 95% ) au Angola, 1 646 ( 62% ) au Burundi, 782 ( 56% ) au Cameroun, 128 ( 48% ) au Congo, 105 ( 59% ) au Gabon, 1 257 ( 78% ) au Tchad, et 471 ( 88% ) en Guinee_Eq, 181 ( 71% ) en RCA, 3 890 ( 68% ) en RDC.</w:t>
      </w:r>
    </w:p>
    <w:tbl>
      <w:tblPr>
        <w:tblStyle w:val="Table"/>
        <w:tblW w:type="pct" w:w="5000"/>
        <w:tblLayout w:type="fixed"/>
        <w:tblLook w:firstRow="0" w:lastRow="0" w:firstColumn="0" w:lastColumn="0" w:noHBand="0" w:noVBand="0" w:val="0000"/>
      </w:tblPr>
      <w:tblGrid>
        <w:gridCol w:w="7920"/>
      </w:tblGrid>
      <w:tr>
        <w:tc>
          <w:tcPr/>
          <w:bookmarkStart w:id="115" w:name="fig-dose"/>
          <w:p>
            <w:pPr>
              <w:pStyle w:val="Compact"/>
              <w:jc w:val="center"/>
            </w:pPr>
            <w:r>
              <w:drawing>
                <wp:inline>
                  <wp:extent cx="5943600" cy="4953000"/>
                  <wp:effectExtent b="0" l="0" r="0" t="0"/>
                  <wp:docPr descr="" title="" id="113" name="Picture"/>
                  <a:graphic>
                    <a:graphicData uri="http://schemas.openxmlformats.org/drawingml/2006/picture">
                      <pic:pic>
                        <pic:nvPicPr>
                          <pic:cNvPr descr="figures/fig-dose-1.png" id="114" name="Picture"/>
                          <pic:cNvPicPr>
                            <a:picLocks noChangeArrowheads="1" noChangeAspect="1"/>
                          </pic:cNvPicPr>
                        </pic:nvPicPr>
                        <pic:blipFill>
                          <a:blip r:embed="rId112"/>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distribution des cas de rougeole selon le statut vaccinal par pays en Afrique centrale</w:t>
            </w:r>
          </w:p>
          <w:bookmarkEnd w:id="115"/>
        </w:tc>
      </w:tr>
    </w:tbl>
    <w:bookmarkEnd w:id="116"/>
    <w:bookmarkStart w:id="129" w:name="X52ef6b99b80c3cb5e6833a34ce8e76a66f06969"/>
    <w:p>
      <w:pPr>
        <w:pStyle w:val="Heading3"/>
      </w:pPr>
      <w:r>
        <w:t xml:space="preserve">5.3 Districts rapportant des cas de rougeole par pays</w:t>
      </w:r>
    </w:p>
    <w:p>
      <w:pPr>
        <w:pStyle w:val="FirstParagraph"/>
      </w:pPr>
      <w:r>
        <w:t xml:space="preserve">La</w:t>
      </w:r>
      <w:r>
        <w:t xml:space="preserve"> </w:t>
      </w:r>
      <w:hyperlink w:anchor="fig-dist_en_epi">
        <w:r>
          <w:rPr>
            <w:rStyle w:val="Hyperlink"/>
          </w:rPr>
          <w:t xml:space="preserve">figure 14</w:t>
        </w:r>
      </w:hyperlink>
      <w:r>
        <w:t xml:space="preserve"> </w:t>
      </w:r>
      <w:r>
        <w:t xml:space="preserve">présente le pourcentage des districts ayant rapporté des cas depuis le début de l’année 2024 et au cours des deux derniers mois par pays. Depuis le début de l’année, le pourcentage médian de district ayant rapporté au moins un cas était de 58% contre 21% sur les huit dernières semaines. Au Burundi, 90% des districts du pays ont rapporté au moins un cas de rougeole depuis le début de l’année, 37% des districts au cours des huit dernières semaines.</w:t>
      </w:r>
    </w:p>
    <w:tbl>
      <w:tblPr>
        <w:tblStyle w:val="Table"/>
        <w:tblW w:type="pct" w:w="5000"/>
        <w:tblLayout w:type="fixed"/>
        <w:tblLook w:firstRow="0" w:lastRow="0" w:firstColumn="0" w:lastColumn="0" w:noHBand="0" w:noVBand="0" w:val="0000"/>
      </w:tblPr>
      <w:tblGrid>
        <w:gridCol w:w="7920"/>
      </w:tblGrid>
      <w:tr>
        <w:tc>
          <w:tcPr/>
          <w:bookmarkStart w:id="120" w:name="fig-dist_en_epi"/>
          <w:p>
            <w:pPr>
              <w:pStyle w:val="Compact"/>
              <w:jc w:val="center"/>
            </w:pPr>
            <w:r>
              <w:drawing>
                <wp:inline>
                  <wp:extent cx="5943600" cy="4953000"/>
                  <wp:effectExtent b="0" l="0" r="0" t="0"/>
                  <wp:docPr descr="" title="" id="118" name="Picture"/>
                  <a:graphic>
                    <a:graphicData uri="http://schemas.openxmlformats.org/drawingml/2006/picture">
                      <pic:pic>
                        <pic:nvPicPr>
                          <pic:cNvPr descr="figures/fig-dist_en_epi-1.png" id="119" name="Picture"/>
                          <pic:cNvPicPr>
                            <a:picLocks noChangeArrowheads="1" noChangeAspect="1"/>
                          </pic:cNvPicPr>
                        </pic:nvPicPr>
                        <pic:blipFill>
                          <a:blip r:embed="rId117"/>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Pourcentage des districts ayant rapporté des cas de rougeole depuis le début de l’année 2024 et au cours des deux derniers mois (juin et juillet) par pays en Afrique centrale</w:t>
            </w:r>
          </w:p>
          <w:bookmarkEnd w:id="120"/>
        </w:tc>
      </w:tr>
    </w:tbl>
    <w:p>
      <w:pPr>
        <w:pStyle w:val="BodyText"/>
      </w:pPr>
      <w:r>
        <w:t xml:space="preserve">La</w:t>
      </w:r>
      <w:r>
        <w:t xml:space="preserve"> </w:t>
      </w:r>
      <w:hyperlink w:anchor="fig-spatialmeasles">
        <w:r>
          <w:rPr>
            <w:rStyle w:val="Hyperlink"/>
          </w:rPr>
          <w:t xml:space="preserve">figure 15</w:t>
        </w:r>
      </w:hyperlink>
      <w:r>
        <w:t xml:space="preserve"> </w:t>
      </w:r>
      <w:r>
        <w:t xml:space="preserve">montre la distribution des cas cumulés de rougeole dans les districts de santé des pays d’Afrique Centrale depuis le début de l’année 2024. Il apparait que les districts de santé situés dans les zones frontalières des pays ont été les plus affectés par la rougeole.</w:t>
      </w:r>
    </w:p>
    <w:tbl>
      <w:tblPr>
        <w:tblStyle w:val="Table"/>
        <w:tblW w:type="pct" w:w="5000"/>
        <w:tblLayout w:type="fixed"/>
        <w:tblLook w:firstRow="0" w:lastRow="0" w:firstColumn="0" w:lastColumn="0" w:noHBand="0" w:noVBand="0" w:val="0000"/>
      </w:tblPr>
      <w:tblGrid>
        <w:gridCol w:w="7920"/>
      </w:tblGrid>
      <w:tr>
        <w:tc>
          <w:tcPr/>
          <w:bookmarkStart w:id="124" w:name="fig-spatialmeasles"/>
          <w:p>
            <w:pPr>
              <w:pStyle w:val="Compact"/>
              <w:jc w:val="center"/>
            </w:pPr>
            <w:r>
              <w:drawing>
                <wp:inline>
                  <wp:extent cx="5943600" cy="4953000"/>
                  <wp:effectExtent b="0" l="0" r="0" t="0"/>
                  <wp:docPr descr="" title="" id="122" name="Picture"/>
                  <a:graphic>
                    <a:graphicData uri="http://schemas.openxmlformats.org/drawingml/2006/picture">
                      <pic:pic>
                        <pic:nvPicPr>
                          <pic:cNvPr descr="figures/fig-spatialmeasles-1.png" id="123" name="Picture"/>
                          <pic:cNvPicPr>
                            <a:picLocks noChangeArrowheads="1" noChangeAspect="1"/>
                          </pic:cNvPicPr>
                        </pic:nvPicPr>
                        <pic:blipFill>
                          <a:blip r:embed="rId121"/>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Distribution Spatiale des cas de rougeole en Afrique centrale au niveau district</w:t>
            </w:r>
          </w:p>
          <w:bookmarkEnd w:id="124"/>
        </w:tc>
      </w:tr>
    </w:tbl>
    <w:p>
      <w:pPr>
        <w:pStyle w:val="BodyText"/>
      </w:pPr>
      <w:r>
        <w:t xml:space="preserve">Sur les deux derniers mois, 217 districts sur les 1 262 ont rapportés au moins un cas de rougeole: Gabon (4), RCA (4), Congo (17), Burundi (18), Tchad (18), Cameroun (46), et RDC (110).Un seul district au nord du Burundi a rapporté plus de 50 cas de rougeole. Les districts des zones frontalières ont rapporté le plus de cas comme le montre la</w:t>
      </w:r>
      <w:r>
        <w:t xml:space="preserve"> </w:t>
      </w:r>
      <w:hyperlink w:anchor="fig-msl_map_2mths">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msl_map_2mths"/>
          <w:p>
            <w:pPr>
              <w:pStyle w:val="Compact"/>
              <w:jc w:val="center"/>
            </w:pPr>
            <w:r>
              <w:drawing>
                <wp:inline>
                  <wp:extent cx="5943600" cy="4953000"/>
                  <wp:effectExtent b="0" l="0" r="0" t="0"/>
                  <wp:docPr descr="" title="" id="126" name="Picture"/>
                  <a:graphic>
                    <a:graphicData uri="http://schemas.openxmlformats.org/drawingml/2006/picture">
                      <pic:pic>
                        <pic:nvPicPr>
                          <pic:cNvPr descr="figures/fig-msl_map_2mths-1.png" id="127" name="Picture"/>
                          <pic:cNvPicPr>
                            <a:picLocks noChangeArrowheads="1" noChangeAspect="1"/>
                          </pic:cNvPicPr>
                        </pic:nvPicPr>
                        <pic:blipFill>
                          <a:blip r:embed="rId125"/>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Distribution spatiale des nombres de cas de rougeole sur les deux derniers mois</w:t>
            </w:r>
          </w:p>
          <w:bookmarkEnd w:id="128"/>
        </w:tc>
      </w:tr>
    </w:tbl>
    <w:bookmarkEnd w:id="129"/>
    <w:bookmarkStart w:id="143" w:name="districts-en-épidémie-de-rougeole"/>
    <w:p>
      <w:pPr>
        <w:pStyle w:val="Heading3"/>
      </w:pPr>
      <w:r>
        <w:t xml:space="preserve">5.4 Districts en épidémie de rougeole</w:t>
      </w:r>
    </w:p>
    <w:p>
      <w:pPr>
        <w:pStyle w:val="FirstParagraph"/>
      </w:pPr>
      <w:r>
        <w:t xml:space="preserve">Depuis le début de l’année 285 districts dans 9 pays sont entrés en épidémie contre 16 districts dans 2 pays sur les 08 dernières semaines (</w:t>
      </w:r>
      <w:hyperlink w:anchor="fig-map_district_epi">
        <w:r>
          <w:rPr>
            <w:rStyle w:val="Hyperlink"/>
          </w:rPr>
          <w:t xml:space="preserve">figure 18</w:t>
        </w:r>
      </w:hyperlink>
      <w:r>
        <w:t xml:space="preserve"> </w:t>
      </w:r>
      <w:r>
        <w:t xml:space="preserve">et</w:t>
      </w:r>
      <w:r>
        <w:t xml:space="preserve"> </w:t>
      </w:r>
      <w:hyperlink w:anchor="fig-map_epi_debut">
        <w:r>
          <w:rPr>
            <w:rStyle w:val="Hyperlink"/>
          </w:rPr>
          <w:t xml:space="preserve">figure 17</w:t>
        </w:r>
      </w:hyperlink>
      <w:r>
        <w:t xml:space="preserve">). Sur les huit dernières semaines, les districts encore en épidémie (74) (</w:t>
      </w:r>
      <w:hyperlink w:anchor="fig-map_district_epi">
        <w:r>
          <w:rPr>
            <w:rStyle w:val="Hyperlink"/>
          </w:rPr>
          <w:t xml:space="preserve">figure 18</w:t>
        </w:r>
      </w:hyperlink>
      <w:r>
        <w:t xml:space="preserve">) ont été essentiellement concentrés en au RCA (1), au Cameroun (3), au Congo (3), au Burundi (5), au Tchad (11), et au RDC (51) .</w:t>
      </w:r>
    </w:p>
    <w:tbl>
      <w:tblPr>
        <w:tblStyle w:val="Table"/>
        <w:tblW w:type="pct" w:w="5000"/>
        <w:tblLayout w:type="fixed"/>
        <w:tblLook w:firstRow="0" w:lastRow="0" w:firstColumn="0" w:lastColumn="0" w:noHBand="0" w:noVBand="0" w:val="0000"/>
      </w:tblPr>
      <w:tblGrid>
        <w:gridCol w:w="7920"/>
      </w:tblGrid>
      <w:tr>
        <w:tc>
          <w:tcPr/>
          <w:bookmarkStart w:id="133" w:name="fig-map_epi_debut"/>
          <w:p>
            <w:pPr>
              <w:pStyle w:val="Compact"/>
              <w:jc w:val="center"/>
            </w:pPr>
            <w:r>
              <w:drawing>
                <wp:inline>
                  <wp:extent cx="5943600" cy="4953000"/>
                  <wp:effectExtent b="0" l="0" r="0" t="0"/>
                  <wp:docPr descr="" title="" id="131" name="Picture"/>
                  <a:graphic>
                    <a:graphicData uri="http://schemas.openxmlformats.org/drawingml/2006/picture">
                      <pic:pic>
                        <pic:nvPicPr>
                          <pic:cNvPr descr="figures/fig-map_epi_debut-1.png" id="132" name="Picture"/>
                          <pic:cNvPicPr>
                            <a:picLocks noChangeArrowheads="1" noChangeAspect="1"/>
                          </pic:cNvPicPr>
                        </pic:nvPicPr>
                        <pic:blipFill>
                          <a:blip r:embed="rId130"/>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Distribution géographique des districts de santé en épidémie de rougeole depuis le début d’année</w:t>
            </w:r>
          </w:p>
          <w:bookmarkEnd w:id="133"/>
        </w:tc>
      </w:tr>
    </w:tbl>
    <w:tbl>
      <w:tblPr>
        <w:tblStyle w:val="Table"/>
        <w:tblW w:type="pct" w:w="5000"/>
        <w:tblLayout w:type="fixed"/>
        <w:tblLook w:firstRow="0" w:lastRow="0" w:firstColumn="0" w:lastColumn="0" w:noHBand="0" w:noVBand="0" w:val="0000"/>
      </w:tblPr>
      <w:tblGrid>
        <w:gridCol w:w="7920"/>
      </w:tblGrid>
      <w:tr>
        <w:tc>
          <w:tcPr/>
          <w:bookmarkStart w:id="137" w:name="fig-map_district_epi"/>
          <w:p>
            <w:pPr>
              <w:pStyle w:val="Compact"/>
              <w:jc w:val="center"/>
            </w:pPr>
            <w:r>
              <w:drawing>
                <wp:inline>
                  <wp:extent cx="5943600" cy="4953000"/>
                  <wp:effectExtent b="0" l="0" r="0" t="0"/>
                  <wp:docPr descr="" title="" id="135" name="Picture"/>
                  <a:graphic>
                    <a:graphicData uri="http://schemas.openxmlformats.org/drawingml/2006/picture">
                      <pic:pic>
                        <pic:nvPicPr>
                          <pic:cNvPr descr="figures/fig-map_district_epi-1.png" id="136" name="Picture"/>
                          <pic:cNvPicPr>
                            <a:picLocks noChangeArrowheads="1" noChangeAspect="1"/>
                          </pic:cNvPicPr>
                        </pic:nvPicPr>
                        <pic:blipFill>
                          <a:blip r:embed="rId134"/>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Carte des districts encore en épidémie sur les huit dernières semaines</w:t>
            </w:r>
          </w:p>
          <w:bookmarkEnd w:id="137"/>
        </w:tc>
      </w:tr>
    </w:tbl>
    <w:p>
      <w:pPr>
        <w:pStyle w:val="BodyText"/>
      </w:pPr>
      <w:r>
        <w:t xml:space="preserve">Pour les districts entrés en épidémie sur les huit dernières semaines, ils se retrouvent essentiellement au Cameroun, RDC.</w:t>
      </w:r>
    </w:p>
    <w:tbl>
      <w:tblPr>
        <w:tblStyle w:val="Table"/>
        <w:tblW w:type="pct" w:w="5000"/>
        <w:tblLayout w:type="fixed"/>
        <w:tblLook w:firstRow="0" w:lastRow="0" w:firstColumn="0" w:lastColumn="0" w:noHBand="0" w:noVBand="0" w:val="0000"/>
      </w:tblPr>
      <w:tblGrid>
        <w:gridCol w:w="7920"/>
      </w:tblGrid>
      <w:tr>
        <w:tc>
          <w:tcPr/>
          <w:bookmarkStart w:id="141" w:name="fig-dist_entrer_epi"/>
          <w:p>
            <w:pPr>
              <w:pStyle w:val="Compact"/>
              <w:jc w:val="center"/>
            </w:pPr>
            <w:r>
              <w:drawing>
                <wp:inline>
                  <wp:extent cx="5943600" cy="4953000"/>
                  <wp:effectExtent b="0" l="0" r="0" t="0"/>
                  <wp:docPr descr="" title="" id="139" name="Picture"/>
                  <a:graphic>
                    <a:graphicData uri="http://schemas.openxmlformats.org/drawingml/2006/picture">
                      <pic:pic>
                        <pic:nvPicPr>
                          <pic:cNvPr descr="figures/fig-dist_entrer_epi-1.png" id="140" name="Picture"/>
                          <pic:cNvPicPr>
                            <a:picLocks noChangeArrowheads="1" noChangeAspect="1"/>
                          </pic:cNvPicPr>
                        </pic:nvPicPr>
                        <pic:blipFill>
                          <a:blip r:embed="rId138"/>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Districts géographiques entrés en épidémie sur les 8 dernières semaines.</w:t>
            </w:r>
          </w:p>
          <w:bookmarkEnd w:id="141"/>
        </w:tc>
      </w:tr>
    </w:tbl>
    <w:p>
      <w:pPr>
        <w:pStyle w:val="BodyText"/>
      </w:pPr>
      <w:r>
        <w:t xml:space="preserve">Le</w:t>
      </w:r>
      <w:r>
        <w:t xml:space="preserve"> </w:t>
      </w:r>
      <w:hyperlink w:anchor="tbl-epistatus">
        <w:r>
          <w:rPr>
            <w:rStyle w:val="Hyperlink"/>
          </w:rPr>
          <w:t xml:space="preserve">tableau 10</w:t>
        </w:r>
      </w:hyperlink>
      <w:r>
        <w:t xml:space="preserve"> </w:t>
      </w:r>
      <w:r>
        <w:t xml:space="preserve">présente le résumé de la distribution des districts de santé en épidémie en Afrique centrale par pays.</w:t>
      </w:r>
    </w:p>
    <w:tbl>
      <w:tblPr>
        <w:tblStyle w:val="Table"/>
        <w:tblW w:type="pct" w:w="5000"/>
        <w:tblLayout w:type="fixed"/>
        <w:tblLook w:firstRow="0" w:lastRow="0" w:firstColumn="0" w:lastColumn="0" w:noHBand="0" w:noVBand="0" w:val="0000"/>
      </w:tblPr>
      <w:tblGrid>
        <w:gridCol w:w="7920"/>
      </w:tblGrid>
      <w:tr>
        <w:tc>
          <w:tcPr/>
          <w:bookmarkStart w:id="142" w:name="tbl-epistatus"/>
          <w:p>
            <w:pPr>
              <w:jc w:val="center"/>
            </w:pPr>
            <w:pPr>
              <w:jc w:val="start"/>
              <w:spacing w:before="200"/>
              <w:pStyle w:val="ImageCaption"/>
            </w:pPr>
            <w:r>
              <w:t xml:space="preserve">Tableau 10: Récapitulatif de la distribution du nombre et pourcentage des districts de santé en épidémie par pays en Afrique centrale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Total Districts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 épidémie en 2024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 épidémie en 2024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encore en épidémie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encore en épidémie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entrés en épidémie durant les 08 dernières semaines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entrés en épidémie durant les 08 dernières semaine</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6.5</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w:t>
                  </w:r>
                </w:p>
              </w:tc>
            </w:tr>
            <w:tr>
              <w:trPr>
                <w:trHeight w:val="6336" w:hRule="auto"/>
              </w:trPr>
              body10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body11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1 262</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285</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22.6</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74</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5.9</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w:t>
                  </w:r>
                </w:p>
              </w:tc>
            </w:tr>
          </w:tbl>
          <w:bookmarkEnd w:id="142"/>
        </w:tc>
      </w:tr>
    </w:tbl>
    <w:bookmarkEnd w:id="143"/>
    <w:bookmarkStart w:id="148" w:name="Xeac81abeaf46381f7312642e697301fdf9378f2"/>
    <w:p>
      <w:pPr>
        <w:pStyle w:val="Heading3"/>
      </w:pPr>
      <w:r>
        <w:t xml:space="preserve">5.5 Taux d’éruption cutanées fébriles non rougeoleuse</w:t>
      </w:r>
    </w:p>
    <w:p>
      <w:pPr>
        <w:pStyle w:val="FirstParagraph"/>
      </w:pPr>
      <w:r>
        <w:t xml:space="preserve">La</w:t>
      </w:r>
      <w:r>
        <w:t xml:space="preserve"> </w:t>
      </w:r>
      <w:hyperlink w:anchor="fig-eruption">
        <w:r>
          <w:rPr>
            <w:rStyle w:val="Hyperlink"/>
          </w:rPr>
          <w:t xml:space="preserve">figure 20</w:t>
        </w:r>
      </w:hyperlink>
      <w:r>
        <w:t xml:space="preserve"> </w:t>
      </w:r>
      <w:r>
        <w:t xml:space="preserve">présente la distribution du taux d’éruptions cutanées fébriles non rougeoleuses par pays en 2024 et 2023 au cours de la même période (Janvier-Juillet). Seuls le Burundi (0.9/100 000), et l’ Angola (0.6/100 000) ont été les seuls à avoir enregistré un taux inférieur à 2/100 000 en 2024.</w:t>
      </w:r>
    </w:p>
    <w:tbl>
      <w:tblPr>
        <w:tblStyle w:val="Table"/>
        <w:tblW w:type="pct" w:w="5000"/>
        <w:tblLayout w:type="fixed"/>
        <w:tblLook w:firstRow="0" w:lastRow="0" w:firstColumn="0" w:lastColumn="0" w:noHBand="0" w:noVBand="0" w:val="0000"/>
      </w:tblPr>
      <w:tblGrid>
        <w:gridCol w:w="7920"/>
      </w:tblGrid>
      <w:tr>
        <w:tc>
          <w:tcPr/>
          <w:bookmarkStart w:id="147" w:name="fig-eruption"/>
          <w:p>
            <w:pPr>
              <w:pStyle w:val="Compact"/>
              <w:jc w:val="center"/>
            </w:pPr>
            <w:r>
              <w:drawing>
                <wp:inline>
                  <wp:extent cx="5943600" cy="4953000"/>
                  <wp:effectExtent b="0" l="0" r="0" t="0"/>
                  <wp:docPr descr="" title="" id="145" name="Picture"/>
                  <a:graphic>
                    <a:graphicData uri="http://schemas.openxmlformats.org/drawingml/2006/picture">
                      <pic:pic>
                        <pic:nvPicPr>
                          <pic:cNvPr descr="figures/fig-eruption-1.png" id="146" name="Picture"/>
                          <pic:cNvPicPr>
                            <a:picLocks noChangeArrowheads="1" noChangeAspect="1"/>
                          </pic:cNvPicPr>
                        </pic:nvPicPr>
                        <pic:blipFill>
                          <a:blip r:embed="rId144"/>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Rapportatge des eruptions cutanées fébriles non rougeoleux par pays</w:t>
            </w:r>
          </w:p>
          <w:bookmarkEnd w:id="147"/>
        </w:tc>
      </w:tr>
    </w:tbl>
    <w:bookmarkEnd w:id="148"/>
    <w:bookmarkStart w:id="153" w:name="X045bd476e1f7937f422da003e570326e4a59722"/>
    <w:p>
      <w:pPr>
        <w:pStyle w:val="Heading3"/>
      </w:pPr>
      <w:r>
        <w:t xml:space="preserve">5.6 Pourcentage de districts avec au moins un cas investigué avec prélèvement</w:t>
      </w:r>
    </w:p>
    <w:p>
      <w:pPr>
        <w:pStyle w:val="FirstParagraph"/>
      </w:pPr>
      <w:r>
        <w:t xml:space="preserve">La</w:t>
      </w:r>
      <w:r>
        <w:t xml:space="preserve"> </w:t>
      </w:r>
      <w:hyperlink w:anchor="fig-measles_investigation">
        <w:r>
          <w:rPr>
            <w:rStyle w:val="Hyperlink"/>
          </w:rPr>
          <w:t xml:space="preserve">figure 21</w:t>
        </w:r>
      </w:hyperlink>
      <w:r>
        <w:t xml:space="preserve"> </w:t>
      </w:r>
      <w:r>
        <w:t xml:space="preserve">présente la distribution du pourcentage de districts avec au moins un cas suspect de rougeole investigué et prélevé par pays en 2024 et 2023 au cours de la même période (janvier-juillet). Le Congo, le Cameroun, la RCA et le Tchad ont enregistré des cas investigués et prélevés dans au moins ≥80% de districts de santé en 2024. Par contre la Guinée Équatoriale et l’Angola ont moins de 50% de districts investigués en 2024.</w:t>
      </w:r>
    </w:p>
    <w:tbl>
      <w:tblPr>
        <w:tblStyle w:val="Table"/>
        <w:tblW w:type="pct" w:w="5000"/>
        <w:tblLayout w:type="fixed"/>
        <w:tblLook w:firstRow="0" w:lastRow="0" w:firstColumn="0" w:lastColumn="0" w:noHBand="0" w:noVBand="0" w:val="0000"/>
      </w:tblPr>
      <w:tblGrid>
        <w:gridCol w:w="7920"/>
      </w:tblGrid>
      <w:tr>
        <w:tc>
          <w:tcPr/>
          <w:bookmarkStart w:id="152" w:name="fig-measles_investigation"/>
          <w:p>
            <w:pPr>
              <w:pStyle w:val="Compact"/>
              <w:jc w:val="center"/>
            </w:pPr>
            <w:r>
              <w:drawing>
                <wp:inline>
                  <wp:extent cx="5943600" cy="4953000"/>
                  <wp:effectExtent b="0" l="0" r="0" t="0"/>
                  <wp:docPr descr="" title="" id="150" name="Picture"/>
                  <a:graphic>
                    <a:graphicData uri="http://schemas.openxmlformats.org/drawingml/2006/picture">
                      <pic:pic>
                        <pic:nvPicPr>
                          <pic:cNvPr descr="figures/fig-measles_investigation-1.png" id="151" name="Picture"/>
                          <pic:cNvPicPr>
                            <a:picLocks noChangeArrowheads="1" noChangeAspect="1"/>
                          </pic:cNvPicPr>
                        </pic:nvPicPr>
                        <pic:blipFill>
                          <a:blip r:embed="rId149"/>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Pourcentages de districts ayant investigué et prélevé au moins un cas suspect de rougeole dans les pays de la sous-région</w:t>
            </w:r>
          </w:p>
          <w:bookmarkEnd w:id="152"/>
        </w:tc>
      </w:tr>
    </w:tbl>
    <w:bookmarkEnd w:id="153"/>
    <w:bookmarkStart w:id="154" w:name="riposte-aux-épidémies-de-rougeole"/>
    <w:p>
      <w:pPr>
        <w:pStyle w:val="Heading3"/>
      </w:pPr>
      <w:r>
        <w:t xml:space="preserve">5.7 Riposte aux épidémies de rougeole</w:t>
      </w:r>
    </w:p>
    <w:p>
      <w:pPr>
        <w:pStyle w:val="FirstParagraph"/>
      </w:pPr>
      <w:r>
        <w:t xml:space="preserve">Depuis le début de l’année, 285 districts dans 9 pays sont entrés en épidémie. Ces épidémies ont été déclarées officiellement dans trois pays: le Burundi, le Cameroun, et la RDC.</w:t>
      </w:r>
    </w:p>
    <w:p>
      <w:pPr>
        <w:pStyle w:val="BodyText"/>
      </w:pPr>
      <w:r>
        <w:t xml:space="preserve">Des neuf pays en épidémie, deux de ces pays ont adopté une approche de ripostes locales ciblées : Le Cameroun et la RDC. Au Cameroun ces ripostes locales ont concerné 50% (5/10) des districts déclarés en épidémie.</w:t>
      </w:r>
    </w:p>
    <w:p>
      <w:pPr>
        <w:pStyle w:val="BodyText"/>
      </w:pPr>
      <w:r>
        <w:t xml:space="preserve">Le Burundi a organisé une campagne de suivi nationale contre la rougeole allant du 13 au 17 juin 2024 dont la cible était de 2 143 265 enfants âgés de 6 à 59 mois. 1 978 99 enfants ont été atteint par la campagne, soit un taux de couverture de 92.3%, seuls 40.8% des districts ont atteint une couverture vaccinale ≥95%.</w:t>
      </w:r>
    </w:p>
    <w:bookmarkEnd w:id="154"/>
    <w:bookmarkEnd w:id="155"/>
    <w:bookmarkStart w:id="167" w:name="X32cbcb56779fae1484d8731d802104f1c14c5dd"/>
    <w:p>
      <w:pPr>
        <w:pStyle w:val="Heading2"/>
      </w:pPr>
      <w:r>
        <w:t xml:space="preserve">6 Performance des pays en matière de vaccination de routine et de surveillance des maladies à prévention vaccinale</w:t>
      </w:r>
    </w:p>
    <w:p>
      <w:pPr>
        <w:pStyle w:val="FirstParagraph"/>
      </w:pPr>
      <w:r>
        <w:t xml:space="preserve">La performance des chaque PEV des pays d’Afrique central a été évaluée en utilisant 12 indicateurs. En fonction des résultats atteints pour chaque indicateur à fin Juin 2024, un score de 0 à 2 a été attribué à chaque pays, pour chaque indicateur (Tableau 11). Le niveau de performance de chaque pays a été définie à partir de la note finale (maximum : 24) et conformément à la grille suivante:</w:t>
      </w:r>
    </w:p>
    <w:p>
      <w:pPr>
        <w:pStyle w:val="Compact"/>
        <w:numPr>
          <w:ilvl w:val="0"/>
          <w:numId w:val="1003"/>
        </w:numPr>
      </w:pPr>
      <w:r>
        <w:t xml:space="preserve">0-7: Faible</w:t>
      </w:r>
    </w:p>
    <w:p>
      <w:pPr>
        <w:pStyle w:val="Compact"/>
        <w:numPr>
          <w:ilvl w:val="0"/>
          <w:numId w:val="1003"/>
        </w:numPr>
      </w:pPr>
      <w:r>
        <w:t xml:space="preserve">8-12: Insuffisante</w:t>
      </w:r>
    </w:p>
    <w:p>
      <w:pPr>
        <w:pStyle w:val="Compact"/>
        <w:numPr>
          <w:ilvl w:val="0"/>
          <w:numId w:val="1003"/>
        </w:numPr>
      </w:pPr>
      <w:r>
        <w:t xml:space="preserve">13-19: Moyenne</w:t>
      </w:r>
    </w:p>
    <w:p>
      <w:pPr>
        <w:pStyle w:val="Compact"/>
        <w:numPr>
          <w:ilvl w:val="0"/>
          <w:numId w:val="1003"/>
        </w:numPr>
      </w:pPr>
      <w:r>
        <w:t xml:space="preserve">≥20: Bonne</w:t>
      </w:r>
    </w:p>
    <w:tbl>
      <w:tblPr>
        <w:tblStyle w:val="Table"/>
        <w:tblW w:type="pct" w:w="5000"/>
        <w:tblLayout w:type="fixed"/>
        <w:tblLook w:firstRow="0" w:lastRow="0" w:firstColumn="0" w:lastColumn="0" w:noHBand="0" w:noVBand="0" w:val="0000"/>
      </w:tblPr>
      <w:tblGrid>
        <w:gridCol w:w="7920"/>
      </w:tblGrid>
      <w:tr>
        <w:tc>
          <w:tcPr/>
          <w:bookmarkStart w:id="156" w:name="tbl-scores"/>
          <w:p>
            <w:pPr>
              <w:jc w:val="center"/>
            </w:pPr>
            <w:pPr>
              <w:jc w:val="start"/>
              <w:spacing w:before="200"/>
              <w:pStyle w:val="ImageCaption"/>
            </w:pPr>
            <w:r>
              <w:t xml:space="preserve">Tableau 11: Scores alloués pour chaque Item de l’indice de performance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pStyle w:val="Compact"/>
                  </w:pPr>
                </w:p>
              </w:tc>
              <w:tc>
                <w:tcPr/>
                <w:p>
                  <w:pPr>
                    <w:pStyle w:val="Compact"/>
                  </w:pPr>
                </w:p>
              </w:tc>
              <w:tc>
                <w:tcPr/>
                <w:p>
                  <w:pPr>
                    <w:pStyle w:val="Compact"/>
                    <w:jc w:val="center"/>
                    <w:jc w:val="center"/>
                  </w:pPr>
                  <w:r>
                    <w:rPr>
                      <w:b/>
                      <w:bCs/>
                    </w:rPr>
                    <w:t xml:space="preserve">Scores</w:t>
                  </w:r>
                </w:p>
              </w:tc>
              <w:tc>
                <w:tcPr/>
                <w:p>
                  <w:pPr>
                    <w:pStyle w:val="Compact"/>
                  </w:pPr>
                </w:p>
              </w:tc>
            </w:tr>
            <w:tr>
              <w:tc>
                <w:tcPr/>
                <w:p>
                  <w:pPr>
                    <w:pStyle w:val="Compact"/>
                    <w:jc w:val="left"/>
                    <w:jc w:val="center"/>
                  </w:pPr>
                  <w:r>
                    <w:t xml:space="preserve">Indicateurs</w:t>
                  </w:r>
                </w:p>
              </w:tc>
              <w:tc>
                <w:tcPr/>
                <w:p>
                  <w:pPr>
                    <w:pStyle w:val="Compact"/>
                    <w:jc w:val="center"/>
                    <w:jc w:val="center"/>
                  </w:pPr>
                  <w:r>
                    <w:t xml:space="preserve">0</w:t>
                  </w:r>
                </w:p>
              </w:tc>
              <w:tc>
                <w:tcPr/>
                <w:p>
                  <w:pPr>
                    <w:pStyle w:val="Compact"/>
                    <w:jc w:val="center"/>
                    <w:jc w:val="center"/>
                  </w:pPr>
                  <w:r>
                    <w:t xml:space="preserve">1</w:t>
                  </w:r>
                </w:p>
              </w:tc>
              <w:tc>
                <w:tcPr/>
                <w:p>
                  <w:pPr>
                    <w:pStyle w:val="Compact"/>
                    <w:jc w:val="center"/>
                    <w:jc w:val="center"/>
                  </w:pPr>
                  <w:r>
                    <w:t xml:space="preserve">2</w:t>
                  </w:r>
                </w:p>
              </w:tc>
            </w:tr>
            <w:tr>
              <w:tc>
                <w:tcPr/>
                <w:p>
                  <w:pPr>
                    <w:pStyle w:val="Compact"/>
                    <w:jc w:val="left"/>
                    <w:jc w:val="center"/>
                  </w:pPr>
                  <w:r>
                    <w:t xml:space="preserve">Couverture vaccinale DTC3</w:t>
                  </w:r>
                </w:p>
              </w:tc>
              <w:tc>
                <w:tcPr/>
                <w:p>
                  <w:pPr>
                    <w:pStyle w:val="Compact"/>
                    <w:jc w:val="center"/>
                    <w:jc w:val="center"/>
                  </w:pPr>
                  <w:r>
                    <w:t xml:space="preserve">≤ 80%</w:t>
                  </w:r>
                </w:p>
              </w:tc>
              <w:tc>
                <w:tcPr/>
                <w:p>
                  <w:pPr>
                    <w:pStyle w:val="Compact"/>
                    <w:jc w:val="center"/>
                    <w:jc w:val="center"/>
                  </w:pPr>
                  <w:r>
                    <w:t xml:space="preserve">80%-89%</w:t>
                  </w:r>
                </w:p>
              </w:tc>
              <w:tc>
                <w:tcPr/>
                <w:p>
                  <w:pPr>
                    <w:pStyle w:val="Compact"/>
                    <w:jc w:val="center"/>
                    <w:jc w:val="center"/>
                  </w:pPr>
                  <w:r>
                    <w:t xml:space="preserve">≥90%</w:t>
                  </w:r>
                </w:p>
              </w:tc>
            </w:tr>
            <w:tr>
              <w:tc>
                <w:tcPr/>
                <w:p>
                  <w:pPr>
                    <w:pStyle w:val="Compact"/>
                    <w:jc w:val="left"/>
                    <w:jc w:val="center"/>
                  </w:pPr>
                  <w:r>
                    <w:t xml:space="preserve">Couverture vaccinale VAR1</w:t>
                  </w:r>
                </w:p>
              </w:tc>
              <w:tc>
                <w:tcPr/>
                <w:p>
                  <w:pPr>
                    <w:pStyle w:val="Compact"/>
                    <w:jc w:val="center"/>
                    <w:jc w:val="center"/>
                  </w:pPr>
                  <w:r>
                    <w:t xml:space="preserve">≤80%</w:t>
                  </w:r>
                </w:p>
              </w:tc>
              <w:tc>
                <w:tcPr/>
                <w:p>
                  <w:pPr>
                    <w:pStyle w:val="Compact"/>
                    <w:jc w:val="center"/>
                    <w:jc w:val="center"/>
                  </w:pPr>
                  <w:r>
                    <w:t xml:space="preserve">80%-89%</w:t>
                  </w:r>
                </w:p>
              </w:tc>
              <w:tc>
                <w:tcPr/>
                <w:p>
                  <w:pPr>
                    <w:pStyle w:val="Compact"/>
                    <w:jc w:val="center"/>
                    <w:jc w:val="center"/>
                  </w:pPr>
                  <w:r>
                    <w:t xml:space="preserve">≥90%</w:t>
                  </w:r>
                </w:p>
              </w:tc>
            </w:tr>
            <w:tr>
              <w:tc>
                <w:tcPr/>
                <w:p>
                  <w:pPr>
                    <w:pStyle w:val="Compact"/>
                    <w:jc w:val="left"/>
                    <w:jc w:val="center"/>
                  </w:pPr>
                  <w:r>
                    <w:t xml:space="preserve">Perdus de vue DTC1-DTC3</w:t>
                  </w:r>
                </w:p>
              </w:tc>
              <w:tc>
                <w:tcPr/>
                <w:p>
                  <w:pPr>
                    <w:pStyle w:val="Compact"/>
                    <w:jc w:val="center"/>
                    <w:jc w:val="center"/>
                  </w:pPr>
                  <w:r>
                    <w:t xml:space="preserve">≥15%</w:t>
                  </w:r>
                </w:p>
              </w:tc>
              <w:tc>
                <w:tcPr/>
                <w:p>
                  <w:pPr>
                    <w:pStyle w:val="Compact"/>
                    <w:jc w:val="center"/>
                    <w:jc w:val="center"/>
                  </w:pPr>
                  <w:r>
                    <w:t xml:space="preserve">5-14%</w:t>
                  </w:r>
                </w:p>
              </w:tc>
              <w:tc>
                <w:tcPr/>
                <w:p>
                  <w:pPr>
                    <w:pStyle w:val="Compact"/>
                    <w:jc w:val="center"/>
                    <w:jc w:val="center"/>
                  </w:pPr>
                  <w:r>
                    <w:t xml:space="preserve">&lt;5%</w:t>
                  </w:r>
                </w:p>
              </w:tc>
            </w:tr>
            <w:tr>
              <w:tc>
                <w:tcPr/>
                <w:p>
                  <w:pPr>
                    <w:pStyle w:val="Compact"/>
                    <w:jc w:val="left"/>
                    <w:jc w:val="center"/>
                  </w:pPr>
                  <w:r>
                    <w:t xml:space="preserve">Pourcentage enfants zéro-dose</w:t>
                  </w:r>
                </w:p>
              </w:tc>
              <w:tc>
                <w:tcPr/>
                <w:p>
                  <w:pPr>
                    <w:pStyle w:val="Compact"/>
                    <w:jc w:val="center"/>
                    <w:jc w:val="center"/>
                  </w:pPr>
                  <w:r>
                    <w:t xml:space="preserve">≥15%</w:t>
                  </w:r>
                </w:p>
              </w:tc>
              <w:tc>
                <w:tcPr/>
                <w:p>
                  <w:pPr>
                    <w:pStyle w:val="Compact"/>
                    <w:jc w:val="center"/>
                    <w:jc w:val="center"/>
                  </w:pPr>
                  <w:r>
                    <w:t xml:space="preserve">5-14%</w:t>
                  </w:r>
                </w:p>
              </w:tc>
              <w:tc>
                <w:tcPr/>
                <w:p>
                  <w:pPr>
                    <w:pStyle w:val="Compact"/>
                    <w:jc w:val="center"/>
                    <w:jc w:val="center"/>
                  </w:pPr>
                  <w:r>
                    <w:t xml:space="preserve">&lt;5%</w:t>
                  </w:r>
                </w:p>
              </w:tc>
            </w:tr>
            <w:tr>
              <w:tc>
                <w:tcPr/>
                <w:p>
                  <w:pPr>
                    <w:pStyle w:val="Compact"/>
                    <w:jc w:val="left"/>
                    <w:jc w:val="center"/>
                  </w:pPr>
                  <w:r>
                    <w:t xml:space="preserve">Pourcentage de districts avec 90% de couverture vaccinale</w:t>
                  </w:r>
                </w:p>
              </w:tc>
              <w:tc>
                <w:tcPr/>
                <w:p>
                  <w:pPr>
                    <w:pStyle w:val="Compact"/>
                    <w:jc w:val="center"/>
                    <w:jc w:val="center"/>
                  </w:pPr>
                  <w:r>
                    <w:t xml:space="preserve">≤80%</w:t>
                  </w:r>
                </w:p>
              </w:tc>
              <w:tc>
                <w:tcPr/>
                <w:p>
                  <w:pPr>
                    <w:pStyle w:val="Compact"/>
                    <w:jc w:val="center"/>
                    <w:jc w:val="center"/>
                  </w:pPr>
                  <w:r>
                    <w:t xml:space="preserve">80%-90%</w:t>
                  </w:r>
                </w:p>
              </w:tc>
              <w:tc>
                <w:tcPr/>
                <w:p>
                  <w:pPr>
                    <w:pStyle w:val="Compact"/>
                    <w:jc w:val="center"/>
                    <w:jc w:val="center"/>
                  </w:pPr>
                  <w:r>
                    <w:t xml:space="preserve">≥90%</w:t>
                  </w:r>
                </w:p>
              </w:tc>
            </w:tr>
            <w:tr>
              <w:tc>
                <w:tcPr/>
                <w:p>
                  <w:pPr>
                    <w:pStyle w:val="Compact"/>
                    <w:jc w:val="left"/>
                    <w:jc w:val="center"/>
                  </w:pPr>
                  <w:r>
                    <w:t xml:space="preserve">Pourcentage avec 90% de couverture vaccinale VAR1</w:t>
                  </w:r>
                </w:p>
              </w:tc>
              <w:tc>
                <w:tcPr/>
                <w:p>
                  <w:pPr>
                    <w:pStyle w:val="Compact"/>
                    <w:jc w:val="center"/>
                    <w:jc w:val="center"/>
                  </w:pPr>
                  <w:r>
                    <w:t xml:space="preserve">≤80%</w:t>
                  </w:r>
                </w:p>
              </w:tc>
              <w:tc>
                <w:tcPr/>
                <w:p>
                  <w:pPr>
                    <w:pStyle w:val="Compact"/>
                    <w:jc w:val="center"/>
                    <w:jc w:val="center"/>
                  </w:pPr>
                  <w:r>
                    <w:t xml:space="preserve">80%-89%</w:t>
                  </w:r>
                </w:p>
              </w:tc>
              <w:tc>
                <w:tcPr/>
                <w:p>
                  <w:pPr>
                    <w:pStyle w:val="Compact"/>
                    <w:jc w:val="center"/>
                    <w:jc w:val="center"/>
                  </w:pPr>
                  <w:r>
                    <w:t xml:space="preserve">≥90%</w:t>
                  </w:r>
                </w:p>
              </w:tc>
            </w:tr>
            <w:tr>
              <w:tc>
                <w:tcPr/>
                <w:p>
                  <w:pPr>
                    <w:pStyle w:val="Compact"/>
                    <w:jc w:val="left"/>
                    <w:jc w:val="center"/>
                  </w:pPr>
                  <w:r>
                    <w:t xml:space="preserve">Taux d’éruption cutanée fébrile non rougeoleuse</w:t>
                  </w:r>
                </w:p>
              </w:tc>
              <w:tc>
                <w:tcPr/>
                <w:p>
                  <w:pPr>
                    <w:pStyle w:val="Compact"/>
                    <w:jc w:val="center"/>
                    <w:jc w:val="center"/>
                  </w:pPr>
                  <w:r>
                    <w:t xml:space="preserve">&gt;1%</w:t>
                  </w:r>
                </w:p>
              </w:tc>
              <w:tc>
                <w:tcPr/>
                <w:p>
                  <w:pPr>
                    <w:pStyle w:val="Compact"/>
                    <w:jc w:val="center"/>
                    <w:jc w:val="center"/>
                  </w:pPr>
                  <w:r>
                    <w:t xml:space="preserve">1%-1.9%</w:t>
                  </w:r>
                </w:p>
              </w:tc>
              <w:tc>
                <w:tcPr/>
                <w:p>
                  <w:pPr>
                    <w:pStyle w:val="Compact"/>
                    <w:jc w:val="center"/>
                    <w:jc w:val="center"/>
                  </w:pPr>
                  <w:r>
                    <w:t xml:space="preserve">≥2%</w:t>
                  </w:r>
                </w:p>
              </w:tc>
            </w:tr>
            <w:tr>
              <w:tc>
                <w:tcPr/>
                <w:p>
                  <w:pPr>
                    <w:pStyle w:val="Compact"/>
                    <w:jc w:val="left"/>
                    <w:jc w:val="center"/>
                  </w:pPr>
                  <w:r>
                    <w:t xml:space="preserve">Pourcentage de districts avec au moins un cas investigué avec prélèvement</w:t>
                  </w:r>
                </w:p>
              </w:tc>
              <w:tc>
                <w:tcPr/>
                <w:p>
                  <w:pPr>
                    <w:pStyle w:val="Compact"/>
                    <w:jc w:val="center"/>
                    <w:jc w:val="center"/>
                  </w:pPr>
                  <w:r>
                    <w:t xml:space="preserve">&lt;50%</w:t>
                  </w:r>
                </w:p>
              </w:tc>
              <w:tc>
                <w:tcPr/>
                <w:p>
                  <w:pPr>
                    <w:pStyle w:val="Compact"/>
                    <w:jc w:val="center"/>
                    <w:jc w:val="center"/>
                  </w:pPr>
                  <w:r>
                    <w:t xml:space="preserve">50%-79%</w:t>
                  </w:r>
                </w:p>
              </w:tc>
              <w:tc>
                <w:tcPr/>
                <w:p>
                  <w:pPr>
                    <w:pStyle w:val="Compact"/>
                    <w:jc w:val="center"/>
                    <w:jc w:val="center"/>
                  </w:pPr>
                  <w:r>
                    <w:t xml:space="preserve">≥80%</w:t>
                  </w:r>
                </w:p>
              </w:tc>
            </w:tr>
            <w:tr>
              <w:tc>
                <w:tcPr/>
                <w:p>
                  <w:pPr>
                    <w:pStyle w:val="Compact"/>
                    <w:jc w:val="left"/>
                    <w:jc w:val="center"/>
                  </w:pPr>
                  <w:r>
                    <w:t xml:space="preserve">Pourcentage des zéros-dose de la cohorte de l’année précédente vacciné</w:t>
                  </w:r>
                </w:p>
              </w:tc>
              <w:tc>
                <w:tcPr/>
                <w:p>
                  <w:pPr>
                    <w:pStyle w:val="Compact"/>
                    <w:jc w:val="center"/>
                    <w:jc w:val="center"/>
                  </w:pPr>
                  <w:r>
                    <w:t xml:space="preserve">&lt;50%</w:t>
                  </w:r>
                </w:p>
              </w:tc>
              <w:tc>
                <w:tcPr/>
                <w:p>
                  <w:pPr>
                    <w:pStyle w:val="Compact"/>
                    <w:jc w:val="center"/>
                    <w:jc w:val="center"/>
                  </w:pPr>
                  <w:r>
                    <w:t xml:space="preserve">50%-79%</w:t>
                  </w:r>
                </w:p>
              </w:tc>
              <w:tc>
                <w:tcPr/>
                <w:p>
                  <w:pPr>
                    <w:pStyle w:val="Compact"/>
                    <w:jc w:val="center"/>
                    <w:jc w:val="center"/>
                  </w:pPr>
                  <w:r>
                    <w:t xml:space="preserve">≥80%</w:t>
                  </w:r>
                </w:p>
              </w:tc>
            </w:tr>
            <w:tr>
              <w:tc>
                <w:tcPr/>
                <w:p>
                  <w:pPr>
                    <w:pStyle w:val="Compact"/>
                    <w:jc w:val="left"/>
                    <w:jc w:val="center"/>
                  </w:pPr>
                  <w:r>
                    <w:t xml:space="preserve">Mois des données de vaccination de routine transmis à l’OMS</w:t>
                  </w:r>
                </w:p>
              </w:tc>
              <w:tc>
                <w:tcPr/>
                <w:p>
                  <w:pPr>
                    <w:pStyle w:val="Compact"/>
                    <w:jc w:val="center"/>
                    <w:jc w:val="center"/>
                  </w:pPr>
                  <w:r>
                    <w:t xml:space="preserve">Avant mois du rapport -2</w:t>
                  </w:r>
                </w:p>
              </w:tc>
              <w:tc>
                <w:tcPr/>
                <w:p>
                  <w:pPr>
                    <w:pStyle w:val="Compact"/>
                    <w:jc w:val="center"/>
                    <w:jc w:val="center"/>
                  </w:pPr>
                  <w:r>
                    <w:t xml:space="preserve">Mois du rapport -2</w:t>
                  </w:r>
                </w:p>
              </w:tc>
              <w:tc>
                <w:tcPr/>
                <w:p>
                  <w:pPr>
                    <w:pStyle w:val="Compact"/>
                    <w:jc w:val="center"/>
                    <w:jc w:val="center"/>
                  </w:pPr>
                  <w:r>
                    <w:t xml:space="preserve">Mois du rapport -1</w:t>
                  </w:r>
                </w:p>
              </w:tc>
            </w:tr>
            <w:tr>
              <w:tc>
                <w:tcPr/>
                <w:p>
                  <w:pPr>
                    <w:pStyle w:val="Compact"/>
                    <w:jc w:val="left"/>
                    <w:jc w:val="center"/>
                  </w:pPr>
                  <w:r>
                    <w:t xml:space="preserve">Mois de données de surveillance Rougeole transmis à l’OMS</w:t>
                  </w:r>
                </w:p>
              </w:tc>
              <w:tc>
                <w:tcPr/>
                <w:p>
                  <w:pPr>
                    <w:pStyle w:val="Compact"/>
                    <w:jc w:val="center"/>
                    <w:jc w:val="center"/>
                  </w:pPr>
                  <w:r>
                    <w:t xml:space="preserve">Avant mois du rapport -2</w:t>
                  </w:r>
                </w:p>
              </w:tc>
              <w:tc>
                <w:tcPr/>
                <w:p>
                  <w:pPr>
                    <w:pStyle w:val="Compact"/>
                    <w:jc w:val="center"/>
                    <w:jc w:val="center"/>
                  </w:pPr>
                  <w:r>
                    <w:t xml:space="preserve">Mois du rapport -2</w:t>
                  </w:r>
                </w:p>
              </w:tc>
              <w:tc>
                <w:tcPr/>
                <w:p>
                  <w:pPr>
                    <w:pStyle w:val="Compact"/>
                    <w:jc w:val="center"/>
                    <w:jc w:val="center"/>
                  </w:pPr>
                  <w:r>
                    <w:t xml:space="preserve">Mois du rapport -1</w:t>
                  </w:r>
                </w:p>
              </w:tc>
            </w:tr>
            <w:tr>
              <w:tc>
                <w:tcPr/>
                <w:p>
                  <w:pPr>
                    <w:pStyle w:val="Compact"/>
                    <w:jc w:val="left"/>
                    <w:jc w:val="center"/>
                  </w:pPr>
                  <w:r>
                    <w:t xml:space="preserve">Seuil épidémique atteint par au moins un district pour la rougeole</w:t>
                  </w:r>
                </w:p>
              </w:tc>
              <w:tc>
                <w:tcPr/>
                <w:p>
                  <w:pPr>
                    <w:pStyle w:val="Compact"/>
                    <w:jc w:val="center"/>
                    <w:jc w:val="center"/>
                  </w:pPr>
                  <w:r>
                    <w:t xml:space="preserve">Au cours des deux derniers mois</w:t>
                  </w:r>
                </w:p>
              </w:tc>
              <w:tc>
                <w:tcPr/>
                <w:p>
                  <w:pPr>
                    <w:pStyle w:val="Compact"/>
                    <w:jc w:val="center"/>
                    <w:jc w:val="center"/>
                  </w:pPr>
                  <w:r>
                    <w:t xml:space="preserve">Oui, mais pas au cours des deux derniers mois</w:t>
                  </w:r>
                </w:p>
              </w:tc>
              <w:tc>
                <w:tcPr/>
                <w:p>
                  <w:pPr>
                    <w:pStyle w:val="Compact"/>
                    <w:jc w:val="center"/>
                    <w:jc w:val="center"/>
                  </w:pPr>
                  <w:r>
                    <w:t xml:space="preserve">Non</w:t>
                  </w:r>
                </w:p>
              </w:tc>
            </w:tr>
          </w:tbl>
          <w:bookmarkEnd w:id="156"/>
          <w:p/>
        </w:tc>
      </w:tr>
    </w:tbl>
    <w:p>
      <w:pPr>
        <w:pStyle w:val="BodyText"/>
      </w:pPr>
      <w:r>
        <w:t xml:space="preserve">Compte tenu des problèmes de qualité de données administratives observées dans certains pays de la sous-région, les données sur les indicateurs de couverture vaccinale ont été ajustées en multipliant la couverture vaccinale administrative 2024 au ratio de l’estimation WUENIC 2023 sur la couverture administrative 2023.</w:t>
      </w:r>
    </w:p>
    <w:p>
      <w:pPr>
        <w:pStyle w:val="BodyText"/>
      </w:pPr>
      <w:r>
        <w:t xml:space="preserve">Le</w:t>
      </w:r>
      <w:r>
        <w:t xml:space="preserve"> </w:t>
      </w:r>
      <w:hyperlink w:anchor="tbl-perf">
        <w:r>
          <w:rPr>
            <w:rStyle w:val="Hyperlink"/>
          </w:rPr>
          <w:t xml:space="preserve">tableau 12</w:t>
        </w:r>
      </w:hyperlink>
      <w:r>
        <w:t xml:space="preserve"> </w:t>
      </w:r>
      <w:r>
        <w:t xml:space="preserve">et les</w:t>
      </w:r>
      <w:r>
        <w:t xml:space="preserve"> </w:t>
      </w:r>
      <w:hyperlink w:anchor="fig-perf_unadjusté">
        <w:r>
          <w:rPr>
            <w:rStyle w:val="Hyperlink"/>
          </w:rPr>
          <w:t xml:space="preserve">figure 22</w:t>
        </w:r>
      </w:hyperlink>
      <w:r>
        <w:t xml:space="preserve"> </w:t>
      </w:r>
      <w:r>
        <w:t xml:space="preserve">&amp;</w:t>
      </w:r>
      <w:r>
        <w:t xml:space="preserve"> </w:t>
      </w:r>
      <w:hyperlink w:anchor="fig-perf_adjusté">
        <w:r>
          <w:rPr>
            <w:rStyle w:val="Hyperlink"/>
          </w:rPr>
          <w:t xml:space="preserve">figure 23</w:t>
        </w:r>
      </w:hyperlink>
      <w:r>
        <w:t xml:space="preserve"> </w:t>
      </w:r>
      <w:r>
        <w:t xml:space="preserve">présentent les résultats des pays sur les indicateurs ajustés et non ajustés. La performance moyenne globale de la sous-région au mois de juillet 2024 était de 9 avant ajustement et de 7 après ajustement. Aucun des pays de la sous-région n’a atteint une bonne performance avant et après ajustement. La performance ajustée était moyenne en Guinée Equatoriale. Le Congo, la RCA, le Tchad et le Burundi ont obtenu une performance ajustée insuffisante. La performance a été jugée faible dans les 5 autres pays de la sous-région :Cameroun, STP, Gabon, RDC et Angola.</w:t>
      </w:r>
    </w:p>
    <w:tbl>
      <w:tblPr>
        <w:tblStyle w:val="Table"/>
        <w:tblW w:type="pct" w:w="5000"/>
        <w:tblLayout w:type="fixed"/>
        <w:tblLook w:firstRow="0" w:lastRow="0" w:firstColumn="0" w:lastColumn="0" w:noHBand="0" w:noVBand="0" w:val="0000"/>
      </w:tblPr>
      <w:tblGrid>
        <w:gridCol w:w="7920"/>
      </w:tblGrid>
      <w:tr>
        <w:tc>
          <w:tcPr/>
          <w:bookmarkStart w:id="157" w:name="tbl-perf"/>
          <w:p>
            <w:pPr>
              <w:jc w:val="center"/>
            </w:pPr>
            <w:pPr>
              <w:jc w:val="start"/>
              <w:spacing w:before="200"/>
              <w:pStyle w:val="ImageCaption"/>
            </w:pPr>
            <w:r>
              <w:t xml:space="preserve">Tableau 12: Performances non ajustées des pays sur les indicateurs de surveillance et de vaccination des maladies à prévention vaccinale de Janvier à Juillet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0"/>
              <w:gridCol w:w="1152"/>
              <w:gridCol w:w="1152"/>
              <w:gridCol w:w="1152"/>
              <w:gridCol w:w="1152"/>
              <w:gridCol w:w="1152"/>
              <w:gridCol w:w="1152"/>
              <w:gridCol w:w="1152"/>
              <w:gridCol w:w="1152"/>
              <w:gridCol w:w="1152"/>
              <w:gridCol w:w="1152"/>
              <w:gridCol w:w="1152"/>
            </w:tblGrid>
            <w:tr>
              <w:trPr>
                <w:trHeight w:val="360" w:hRule="auto"/>
                <w:tblHeader/>
              </w:trPr>
              header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000000"/>
                    </w:rPr>
                    <w:t xml:space="preserve"/>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AGO</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BDI</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CMR</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COG</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GAB</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GNQ</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RCA</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RDC</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STP</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TCD</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#PAYS</w:t>
                  </w:r>
                </w:p>
              </w:tc>
            </w:tr>
            <w:tr>
              <w:trPr>
                <w:trHeight w:val="1152" w:hRule="exact"/>
              </w:trPr>
              body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DTC1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3</w:t>
                  </w:r>
                </w:p>
              </w:tc>
            </w:tr>
            <w:tr>
              <w:trPr>
                <w:trHeight w:val="1152" w:hRule="exact"/>
              </w:trPr>
              body 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3</w:t>
                  </w:r>
                </w:p>
              </w:tc>
            </w:tr>
            <w:tr>
              <w:trPr>
                <w:trHeight w:val="1152" w:hRule="exact"/>
              </w:trPr>
              body 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Perdu de vue DTC1-DTC3</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r>
            <w:tr>
              <w:trPr>
                <w:trHeight w:val="1152" w:hRule="exact"/>
              </w:trPr>
              body 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r>
            <w:tr>
              <w:trPr>
                <w:trHeight w:val="1152" w:hRule="exact"/>
              </w:trPr>
              body 5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d'enfants zero dose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 6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districts avec 90% de couverture vaccinale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 7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districts avec 90% de couverture vaccinale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 8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Taux d’éruption cutanée fébrile non rougeoleuse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r>
            <w:tr>
              <w:trPr>
                <w:trHeight w:val="1152" w:hRule="exact"/>
              </w:trPr>
              body 9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 Districts avec au moins un cas suspect de rougeole investigué avec prélèvement</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r>
            <w:tr>
              <w:trPr>
                <w:trHeight w:val="1152" w:hRule="exact"/>
              </w:trPr>
              body10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des zéro-dose de la cohorte de l'année précédente vaccinés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body11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Promptitude de transmission des données RI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body12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Promptitude de transmission des données de surveillance  Rougeole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8</w:t>
                  </w:r>
                </w:p>
              </w:tc>
            </w:tr>
            <w:tr>
              <w:trPr>
                <w:trHeight w:val="1152" w:hRule="exact"/>
              </w:trPr>
              body13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Seuil épidémique atteint par au moins un district  pour la rougeole</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body14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Indice de performance global</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9</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13</w:t>
                  </w:r>
                </w:p>
              </w:tc>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15</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14</w:t>
                  </w:r>
                </w:p>
              </w:tc>
              <w:tc>
                <w:tcPr>
                  <w:tcBorders>
                    <w:bottom w:val="single" w:sz="6" w:space="0" w:color="FFFFFF"/>
                    <w:top w:val="single" w:sz="6" w:space="0" w:color="FFFFFF"/>
                    <w:left w:val="single" w:sz="6" w:space="0" w:color="FFFFFF"/>
                    <w:right w:val="single" w:sz="6" w:space="0" w:color="FFFFFF"/>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
                  </w:r>
                </w:p>
              </w:tc>
            </w:tr>
          </w:tbl>
          <w:bookmarkEnd w:id="157"/>
        </w:tc>
      </w:tr>
    </w:tbl>
    <w:tbl>
      <w:tblPr>
        <w:tblStyle w:val="Table"/>
        <w:tblW w:type="pct" w:w="5000"/>
        <w:tblLayout w:type="fixed"/>
        <w:tblLook w:firstRow="0" w:lastRow="0" w:firstColumn="0" w:lastColumn="0" w:noHBand="0" w:noVBand="0" w:val="0000"/>
      </w:tblPr>
      <w:tblGrid>
        <w:gridCol w:w="7920"/>
      </w:tblGrid>
      <w:tr>
        <w:tc>
          <w:tcPr/>
          <w:bookmarkStart w:id="161" w:name="fig-perf_unadjusté"/>
          <w:p>
            <w:pPr>
              <w:pStyle w:val="Compact"/>
              <w:jc w:val="center"/>
            </w:pPr>
            <w:r>
              <w:drawing>
                <wp:inline>
                  <wp:extent cx="5943600" cy="4953000"/>
                  <wp:effectExtent b="0" l="0" r="0" t="0"/>
                  <wp:docPr descr="" title="" id="159" name="Picture"/>
                  <a:graphic>
                    <a:graphicData uri="http://schemas.openxmlformats.org/drawingml/2006/picture">
                      <pic:pic>
                        <pic:nvPicPr>
                          <pic:cNvPr descr="figures/fig-perf_unadjusté-1.png" id="160" name="Picture"/>
                          <pic:cNvPicPr>
                            <a:picLocks noChangeArrowheads="1" noChangeAspect="1"/>
                          </pic:cNvPicPr>
                        </pic:nvPicPr>
                        <pic:blipFill>
                          <a:blip r:embed="rId158"/>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Performance des pays de l’Afrique centrale sur l’indice de performance non-ajusté</w:t>
            </w:r>
          </w:p>
          <w:bookmarkEnd w:id="161"/>
        </w:tc>
      </w:tr>
    </w:tbl>
    <w:tbl>
      <w:tblPr>
        <w:tblStyle w:val="Table"/>
        <w:tblW w:type="pct" w:w="5000"/>
        <w:tblLayout w:type="fixed"/>
        <w:tblLook w:firstRow="0" w:lastRow="0" w:firstColumn="0" w:lastColumn="0" w:noHBand="0" w:noVBand="0" w:val="0000"/>
      </w:tblPr>
      <w:tblGrid>
        <w:gridCol w:w="7920"/>
      </w:tblGrid>
      <w:tr>
        <w:tc>
          <w:tcPr/>
          <w:bookmarkStart w:id="162" w:name="tbl-adj"/>
          <w:p>
            <w:pPr>
              <w:jc w:val="center"/>
            </w:pPr>
            <w:pPr>
              <w:jc w:val="start"/>
              <w:spacing w:before="200"/>
              <w:pStyle w:val="ImageCaption"/>
            </w:pPr>
            <w:r>
              <w:t xml:space="preserve">Tableau 13: Performances ajustées des pays sur les indicateurs de surveillance et de vaccination des maladies à prévention vaccinale de Janvier à Juillet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0"/>
              <w:gridCol w:w="1152"/>
              <w:gridCol w:w="1152"/>
              <w:gridCol w:w="1152"/>
              <w:gridCol w:w="1152"/>
              <w:gridCol w:w="1152"/>
              <w:gridCol w:w="1152"/>
              <w:gridCol w:w="1152"/>
              <w:gridCol w:w="1152"/>
              <w:gridCol w:w="1152"/>
              <w:gridCol w:w="1152"/>
              <w:gridCol w:w="1152"/>
            </w:tblGrid>
            <w:tr>
              <w:trPr>
                <w:trHeight w:val="360" w:hRule="auto"/>
                <w:tblHeader/>
              </w:trPr>
              header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000000"/>
                    </w:rPr>
                    <w:t xml:space="preserve"/>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AGO</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BDI</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CMR</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COG</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GAB</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GNQ</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RCA</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RDC</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STP</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TCD</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50"/>
                      <w:szCs w:val="50"/>
                      <w:color w:val="ECECEC"/>
                    </w:rPr>
                    <w:t xml:space="preserve">#PAYS</w:t>
                  </w:r>
                </w:p>
              </w:tc>
            </w:tr>
            <w:tr>
              <w:trPr>
                <w:trHeight w:val="1152" w:hRule="exact"/>
              </w:trPr>
              body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DTC1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 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 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Perdu de vue DTC1-DTC3</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r>
            <w:tr>
              <w:trPr>
                <w:trHeight w:val="1152" w:hRule="exact"/>
              </w:trPr>
              body 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Couverture au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 5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d'enfants zero dose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 6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districts avec 90% de couverture vaccinale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 7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districts avec 90% de couverture vaccinale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 8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Taux d’éruption cutanée fébrile non rougeoleuse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r>
            <w:tr>
              <w:trPr>
                <w:trHeight w:val="1152" w:hRule="exact"/>
              </w:trPr>
              body 9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 Districts avec au moins un cas suspect de rougeole investigué avec prélèvement</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r>
            <w:tr>
              <w:trPr>
                <w:trHeight w:val="1152" w:hRule="exact"/>
              </w:trPr>
              body10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 des zéro-dose de la cohorte de l'année précédente vaccinés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body11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Promptitude de transmission des données RI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r>
            <w:tr>
              <w:trPr>
                <w:trHeight w:val="1152" w:hRule="exact"/>
              </w:trPr>
              body12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Promptitude de transmission des données de surveillance  Rougeole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8</w:t>
                  </w:r>
                </w:p>
              </w:tc>
            </w:tr>
            <w:tr>
              <w:trPr>
                <w:trHeight w:val="1152" w:hRule="exact"/>
              </w:trPr>
              body13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Seuil épidémique atteint par au moins un district  pour la rougeole</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1</w:t>
                  </w:r>
                </w:p>
              </w:tc>
            </w:tr>
            <w:tr>
              <w:trPr>
                <w:trHeight w:val="1152" w:hRule="exact"/>
              </w:trPr>
              body14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30"/>
                      <w:szCs w:val="30"/>
                      <w:color w:val="000000"/>
                    </w:rPr>
                    <w:t xml:space="preserve">Indice de performance global</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13</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9</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4</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111111"/>
                    </w:rPr>
                    <w:t xml:space="preserve">8</w:t>
                  </w:r>
                </w:p>
              </w:tc>
              <w:tc>
                <w:tcPr>
                  <w:tcBorders>
                    <w:bottom w:val="single" w:sz="6" w:space="0" w:color="FFFFFF"/>
                    <w:top w:val="single" w:sz="6" w:space="0" w:color="FFFFFF"/>
                    <w:left w:val="single" w:sz="6" w:space="0" w:color="FFFFFF"/>
                    <w:right w:val="single" w:sz="6" w:space="0" w:color="FFFFFF"/>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30"/>
                      <w:szCs w:val="30"/>
                      <w:color w:val="ECECEC"/>
                    </w:rPr>
                    <w:t xml:space="preserve"/>
                  </w:r>
                </w:p>
              </w:tc>
            </w:tr>
          </w:tbl>
          <w:bookmarkEnd w:id="162"/>
        </w:tc>
      </w:tr>
    </w:tbl>
    <w:tbl>
      <w:tblPr>
        <w:tblStyle w:val="Table"/>
        <w:tblW w:type="pct" w:w="5000"/>
        <w:tblLayout w:type="fixed"/>
        <w:tblLook w:firstRow="0" w:lastRow="0" w:firstColumn="0" w:lastColumn="0" w:noHBand="0" w:noVBand="0" w:val="0000"/>
      </w:tblPr>
      <w:tblGrid>
        <w:gridCol w:w="7920"/>
      </w:tblGrid>
      <w:tr>
        <w:tc>
          <w:tcPr/>
          <w:bookmarkStart w:id="166" w:name="fig-perf_adjusté"/>
          <w:p>
            <w:pPr>
              <w:pStyle w:val="Compact"/>
              <w:jc w:val="center"/>
            </w:pPr>
            <w:r>
              <w:drawing>
                <wp:inline>
                  <wp:extent cx="5943600" cy="4953000"/>
                  <wp:effectExtent b="0" l="0" r="0" t="0"/>
                  <wp:docPr descr="" title="" id="164" name="Picture"/>
                  <a:graphic>
                    <a:graphicData uri="http://schemas.openxmlformats.org/drawingml/2006/picture">
                      <pic:pic>
                        <pic:nvPicPr>
                          <pic:cNvPr descr="figures/fig-perf_adjusté-1.png" id="165" name="Picture"/>
                          <pic:cNvPicPr>
                            <a:picLocks noChangeArrowheads="1" noChangeAspect="1"/>
                          </pic:cNvPicPr>
                        </pic:nvPicPr>
                        <pic:blipFill>
                          <a:blip r:embed="rId163"/>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Performance des pays de l’Afrique centrale sur l’indice de performance ajusté sur les couvertures Wuenic 2023</w:t>
            </w:r>
          </w:p>
          <w:bookmarkEnd w:id="166"/>
        </w:tc>
      </w:tr>
    </w:tbl>
    <w:bookmarkEnd w:id="167"/>
    <w:bookmarkStart w:id="169" w:name="section"/>
    <w:p>
      <w:pPr>
        <w:pStyle w:val="Heading2"/>
      </w:pPr>
      <w:r>
        <w:t xml:space="preserve">7</w:t>
      </w:r>
      <w:r>
        <w:t xml:space="preserve"> </w:t>
      </w:r>
    </w:p>
    <w:p>
      <w:pPr>
        <w:pStyle w:val="FirstParagraph"/>
      </w:pPr>
      <w:r>
        <w:t xml:space="preserve">© Bureau régional de l’OMS pour l’Afrique</w:t>
      </w:r>
    </w:p>
    <w:p>
      <w:pPr>
        <w:pStyle w:val="BodyText"/>
      </w:pPr>
      <w:r>
        <w:t xml:space="preserve">Ce document n’est pas une publication officielle de l’Organisation mondiale de la Santé. Toute correspondance y relative peut être adressée aux personnes suivantes :</w:t>
      </w:r>
      <w:r>
        <w:t xml:space="preserve"> </w:t>
      </w:r>
      <w:r>
        <w:t xml:space="preserve">Dr Franck Mboussou, Medical Officer (Immunization/IST)</w:t>
      </w:r>
      <w:r>
        <w:t xml:space="preserve"> </w:t>
      </w:r>
      <w:hyperlink r:id="rId168">
        <w:r>
          <w:rPr>
            <w:rStyle w:val="Hyperlink"/>
          </w:rPr>
          <w:t xml:space="preserve">mboussou@who.int</w:t>
        </w:r>
      </w:hyperlink>
      <w:r>
        <w:t xml:space="preserve"> </w:t>
      </w:r>
      <w:r>
        <w:t xml:space="preserve">Les demandes d’autorisation de reproduction ou de traduction de la présente publication — que ce soit pour la vente ou une diffusion à des fins non commerciales — doivent être envoyées à la même adresse. Les appellations employées dans la présente publication et la présentation des données qui y figurent n’impliquent de la part de l’Organisation mondiale de la Santé aucune prise de position quant au statut juridique des pays, territoires, villes ou zones, ou de leurs autorités, ni quant au tracé de leurs frontières ou limites. Les lignes en pointillé sur les cartes représentent des frontières approximatives dont le tracé peut ne pas avoir fait l’objet d’un accord définitif.</w:t>
      </w:r>
    </w:p>
    <w:bookmarkEnd w:id="169"/>
    <w:bookmarkStart w:id="172" w:name="section-1"/>
    <w:p>
      <w:pPr>
        <w:pStyle w:val="Heading2"/>
      </w:pPr>
      <w:r>
        <w:t xml:space="preserve">8</w:t>
      </w:r>
      <w:r>
        <w:t xml:space="preserve"> </w:t>
      </w:r>
    </w:p>
    <w:bookmarkStart w:id="170" w:name="équipe-de-rédaction"/>
    <w:p>
      <w:pPr>
        <w:pStyle w:val="Heading3"/>
      </w:pPr>
      <w:r>
        <w:t xml:space="preserve">8.1 Équipe de Rédaction</w:t>
      </w:r>
    </w:p>
    <w:p>
      <w:pPr>
        <w:pStyle w:val="Compact"/>
        <w:numPr>
          <w:ilvl w:val="0"/>
          <w:numId w:val="1004"/>
        </w:numPr>
      </w:pPr>
      <w:r>
        <w:t xml:space="preserve">Mboussou Franck Fortune Roland (Focal Point Epi)</w:t>
      </w:r>
    </w:p>
    <w:p>
      <w:pPr>
        <w:pStyle w:val="Compact"/>
        <w:numPr>
          <w:ilvl w:val="0"/>
          <w:numId w:val="1004"/>
        </w:numPr>
      </w:pPr>
      <w:r>
        <w:t xml:space="preserve">Sylvestre Dongmo, Épidémiologiste</w:t>
      </w:r>
    </w:p>
    <w:p>
      <w:pPr>
        <w:pStyle w:val="Compact"/>
        <w:numPr>
          <w:ilvl w:val="0"/>
          <w:numId w:val="1004"/>
        </w:numPr>
      </w:pPr>
      <w:r>
        <w:t xml:space="preserve">Benedict Nguimbis, Surveillance Officer</w:t>
      </w:r>
    </w:p>
    <w:bookmarkEnd w:id="170"/>
    <w:bookmarkStart w:id="171" w:name="contributeurs"/>
    <w:p>
      <w:pPr>
        <w:pStyle w:val="Heading3"/>
      </w:pPr>
      <w:r>
        <w:t xml:space="preserve">8.2 Contributeurs</w:t>
      </w:r>
    </w:p>
    <w:p>
      <w:pPr>
        <w:pStyle w:val="Compact"/>
        <w:numPr>
          <w:ilvl w:val="0"/>
          <w:numId w:val="1005"/>
        </w:numPr>
      </w:pPr>
      <w:r>
        <w:t xml:space="preserve">Maurice Demanou</w:t>
      </w:r>
    </w:p>
    <w:p>
      <w:pPr>
        <w:pStyle w:val="Compact"/>
        <w:numPr>
          <w:ilvl w:val="0"/>
          <w:numId w:val="1005"/>
        </w:numPr>
      </w:pPr>
      <w:r>
        <w:t xml:space="preserve">Yolande Vuo Masembe</w:t>
      </w:r>
    </w:p>
    <w:p>
      <w:pPr>
        <w:pStyle w:val="Compact"/>
        <w:numPr>
          <w:ilvl w:val="0"/>
          <w:numId w:val="1005"/>
        </w:numPr>
      </w:pPr>
      <w:r>
        <w:t xml:space="preserve">Claude Mangobo</w:t>
      </w:r>
    </w:p>
    <w:p>
      <w:pPr>
        <w:pStyle w:val="Compact"/>
        <w:numPr>
          <w:ilvl w:val="0"/>
          <w:numId w:val="1005"/>
        </w:numPr>
      </w:pPr>
      <w:r>
        <w:t xml:space="preserve">Régis Maurin Obiang Mba</w:t>
      </w:r>
    </w:p>
    <w:p>
      <w:pPr>
        <w:pStyle w:val="Compact"/>
        <w:numPr>
          <w:ilvl w:val="0"/>
          <w:numId w:val="1005"/>
        </w:numPr>
      </w:pPr>
      <w:r>
        <w:t xml:space="preserve">Verena Tshimbombo</w:t>
      </w:r>
    </w:p>
    <w:p>
      <w:pPr>
        <w:pStyle w:val="Compact"/>
        <w:numPr>
          <w:ilvl w:val="0"/>
          <w:numId w:val="1005"/>
        </w:numPr>
      </w:pPr>
      <w:r>
        <w:t xml:space="preserve">Aissata Diaha</w:t>
      </w:r>
    </w:p>
    <w:p>
      <w:pPr>
        <w:pStyle w:val="Compact"/>
        <w:numPr>
          <w:ilvl w:val="0"/>
          <w:numId w:val="1005"/>
        </w:numPr>
      </w:pPr>
      <w:r>
        <w:t xml:space="preserve">Edinam Amavi Agbenu</w:t>
      </w:r>
    </w:p>
    <w:p>
      <w:pPr>
        <w:pStyle w:val="Compact"/>
        <w:numPr>
          <w:ilvl w:val="0"/>
          <w:numId w:val="1005"/>
        </w:numPr>
      </w:pPr>
      <w:r>
        <w:t xml:space="preserve">Afi Ossinga Linda</w:t>
      </w:r>
    </w:p>
    <w:p>
      <w:pPr>
        <w:pStyle w:val="Compact"/>
        <w:numPr>
          <w:ilvl w:val="0"/>
          <w:numId w:val="1005"/>
        </w:numPr>
      </w:pPr>
      <w:r>
        <w:t xml:space="preserve">Raïssa Moussounda Mabika</w:t>
      </w:r>
    </w:p>
    <w:p>
      <w:pPr>
        <w:pStyle w:val="Compact"/>
        <w:numPr>
          <w:ilvl w:val="0"/>
          <w:numId w:val="1005"/>
        </w:numPr>
      </w:pPr>
      <w:r>
        <w:t xml:space="preserve">Christian Alain Togue Fetue</w:t>
      </w:r>
    </w:p>
    <w:p>
      <w:pPr>
        <w:pStyle w:val="Compact"/>
        <w:numPr>
          <w:ilvl w:val="0"/>
          <w:numId w:val="1005"/>
        </w:numPr>
      </w:pPr>
      <w:r>
        <w:t xml:space="preserve">Poulmawendin Cedric Nanema</w:t>
      </w:r>
    </w:p>
    <w:p>
      <w:pPr>
        <w:pStyle w:val="Compact"/>
        <w:numPr>
          <w:ilvl w:val="0"/>
          <w:numId w:val="1005"/>
        </w:numPr>
      </w:pPr>
      <w:r>
        <w:t xml:space="preserve">Edie Alain Kemenang</w:t>
      </w:r>
    </w:p>
    <w:p>
      <w:pPr>
        <w:pStyle w:val="Compact"/>
        <w:numPr>
          <w:ilvl w:val="0"/>
          <w:numId w:val="1005"/>
        </w:numPr>
      </w:pPr>
      <w:r>
        <w:t xml:space="preserve">Christian Akani Bangaman</w:t>
      </w:r>
    </w:p>
    <w:bookmarkEnd w:id="171"/>
    <w:bookmarkEnd w:id="172"/>
    <w:sectPr w:rsidR="006D0840" w:rsidRPr="00CB67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oppins">
    <w:panose1 w:val="00000500000000000000"/>
    <w:charset w:val="00"/>
    <w:family w:val="auto"/>
    <w:pitch w:val="variable"/>
    <w:sig w:usb0="00008007" w:usb1="00000000" w:usb2="00000000" w:usb3="00000000" w:csb0="00000093" w:csb1="00000000"/>
  </w:font>
  <w:font w:name="Manrope ExtraBold">
    <w:charset w:val="00"/>
    <w:family w:val="auto"/>
    <w:pitch w:val="variable"/>
    <w:sig w:usb0="A00002BF" w:usb1="5000206B" w:usb2="00000000" w:usb3="00000000" w:csb0="0000019F" w:csb1="00000000"/>
  </w:font>
  <w:font w:name="Manrope">
    <w:charset w:val="00"/>
    <w:family w:val="auto"/>
    <w:pitch w:val="variable"/>
    <w:sig w:usb0="A00002BF" w:usb1="5000206B" w:usb2="00000000" w:usb3="00000000" w:csb0="0000019F" w:csb1="00000000"/>
  </w:font>
  <w:font w:name="Consolas">
    <w:panose1 w:val="020B0609020204030204"/>
    <w:charset w:val="00"/>
    <w:family w:val="modern"/>
    <w:pitch w:val="fixed"/>
    <w:sig w:usb0="E00006FF" w:usb1="0000FCFF" w:usb2="00000001" w:usb3="00000000" w:csb0="0000019F" w:csb1="00000000"/>
  </w:font>
  <w:font w:name="Spline Sans">
    <w:altName w:val="Calibri"/>
    <w:panose1 w:val="00000000000000000000"/>
    <w:charset w:val="00"/>
    <w:family w:val="auto"/>
    <w:pitch w:val="variable"/>
    <w:sig w:usb0="A000007F" w:usb1="4000005B" w:usb2="00000000" w:usb3="00000000" w:csb0="00000093" w:csb1="00000000"/>
  </w:font>
  <w:font w:name="Inter">
    <w:altName w:val="Calibri"/>
    <w:charset w:val="00"/>
    <w:family w:val="auto"/>
    <w:pitch w:val="variable"/>
    <w:sig w:usb0="E00002FF" w:usb1="1200A1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BCE2A9A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C6E037B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997758893" w:numId="1">
    <w:abstractNumId w:val="0"/>
  </w:num>
  <w:num w16cid:durableId="269094337" w:numId="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MxNTU3tDC2MDMzsjRS0lEKTi0uzszPAykwrgUAX6MKsiwAAAA="/>
  </w:docVars>
  <w:rsids>
    <w:rsidRoot w:val="00E34607"/>
    <w:rsid w:val="00084B87"/>
    <w:rsid w:val="000D5A7F"/>
    <w:rsid w:val="00265C21"/>
    <w:rsid w:val="0058691A"/>
    <w:rsid w:val="006D0840"/>
    <w:rsid w:val="00721772"/>
    <w:rsid w:val="0089412F"/>
    <w:rsid w:val="008C4DAE"/>
    <w:rsid w:val="00AF1A1D"/>
    <w:rsid w:val="00B2533A"/>
    <w:rsid w:val="00B412C3"/>
    <w:rsid w:val="00CB6785"/>
    <w:rsid w:val="00D405C2"/>
    <w:rsid w:val="00E3460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colormru colors="#7fb1ba" v:ext="edit"/>
    </o:shapedefaults>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376" w:defLockedState="0" w:defQFormat="0" w:defSemiHidden="0" w:defUIPriority="0" w:defUnhideWhenUsed="0">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C4DAE"/>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CB6785"/>
    <w:pPr>
      <w:keepNext/>
      <w:keepLines/>
      <w:spacing w:after="0" w:line="360" w:lineRule="auto"/>
      <w:outlineLvl w:val="1"/>
    </w:pPr>
    <w:rPr>
      <w:rFonts w:ascii="Poppins" w:cstheme="majorBidi" w:eastAsiaTheme="majorEastAsia" w:hAnsi="Poppins"/>
      <w:b/>
      <w:color w:val="006476"/>
      <w:sz w:val="36"/>
      <w:szCs w:val="32"/>
    </w:rPr>
  </w:style>
  <w:style w:styleId="Heading3" w:type="paragraph">
    <w:name w:val="heading 3"/>
    <w:basedOn w:val="Normal"/>
    <w:next w:val="BodyText"/>
    <w:link w:val="Heading3Char"/>
    <w:uiPriority w:val="9"/>
    <w:semiHidden/>
    <w:unhideWhenUsed/>
    <w:qFormat/>
    <w:rsid w:val="00CB6785"/>
    <w:pPr>
      <w:keepNext/>
      <w:keepLines/>
      <w:spacing w:after="80" w:before="160" w:line="360" w:lineRule="auto"/>
      <w:outlineLvl w:val="2"/>
    </w:pPr>
    <w:rPr>
      <w:rFonts w:ascii="Poppins" w:cstheme="majorBidi" w:eastAsiaTheme="majorEastAsia" w:hAnsi="Poppins"/>
      <w:b/>
      <w:color w:val="28A87D"/>
      <w:sz w:val="28"/>
      <w:szCs w:val="28"/>
    </w:rPr>
  </w:style>
  <w:style w:styleId="Heading4" w:type="paragraph">
    <w:name w:val="heading 4"/>
    <w:basedOn w:val="Normal"/>
    <w:next w:val="BodyText"/>
    <w:link w:val="Heading4Char"/>
    <w:uiPriority w:val="9"/>
    <w:semiHidden/>
    <w:unhideWhenUsed/>
    <w:qFormat/>
    <w:rsid w:val="00CB6785"/>
    <w:pPr>
      <w:keepNext/>
      <w:keepLines/>
      <w:spacing w:after="120" w:before="80"/>
      <w:outlineLvl w:val="3"/>
    </w:pPr>
    <w:rPr>
      <w:rFonts w:ascii="Poppins" w:cstheme="majorBidi" w:eastAsiaTheme="majorEastAsia" w:hAnsi="Poppins"/>
      <w:iCs/>
      <w:color w:val="008B8B"/>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8C4DAE"/>
    <w:pPr>
      <w:spacing w:after="180" w:before="180" w:line="360" w:lineRule="auto"/>
      <w:jc w:val="both"/>
    </w:pPr>
    <w:rPr>
      <w:rFonts w:ascii="Poppins" w:hAnsi="Poppins"/>
      <w:sz w:val="20"/>
    </w:rPr>
  </w:style>
  <w:style w:customStyle="1" w:styleId="FirstParagraph" w:type="paragraph">
    <w:name w:val="First Paragraph"/>
    <w:basedOn w:val="BodyText"/>
    <w:next w:val="BodyText"/>
    <w:qFormat/>
  </w:style>
  <w:style w:customStyle="1" w:styleId="Compact" w:type="paragraph">
    <w:name w:val="Compact"/>
    <w:basedOn w:val="BodyText"/>
    <w:qFormat/>
    <w:rsid w:val="00084B87"/>
    <w:pPr>
      <w:spacing w:after="80" w:before="480"/>
    </w:pPr>
  </w:style>
  <w:style w:styleId="Title" w:type="paragraph">
    <w:name w:val="Title"/>
    <w:basedOn w:val="Normal"/>
    <w:next w:val="BodyText"/>
    <w:link w:val="TitleChar"/>
    <w:uiPriority w:val="10"/>
    <w:qFormat/>
    <w:rsid w:val="000D5A7F"/>
    <w:pPr>
      <w:spacing w:after="80" w:before="4920"/>
      <w:contextualSpacing/>
      <w:jc w:val="center"/>
    </w:pPr>
    <w:rPr>
      <w:rFonts w:ascii="Manrope ExtraBold" w:cstheme="majorBidi" w:eastAsiaTheme="majorEastAsia" w:hAnsi="Manrope ExtraBold"/>
      <w:color w:themeColor="background1" w:val="FFFFFF"/>
      <w:spacing w:val="-10"/>
      <w:kern w:val="28"/>
      <w:sz w:val="56"/>
      <w:szCs w:val="56"/>
      <w:lang w:val="fr"/>
    </w:rPr>
  </w:style>
  <w:style w:customStyle="1" w:styleId="TitleChar" w:type="character">
    <w:name w:val="Title Char"/>
    <w:basedOn w:val="DefaultParagraphFont"/>
    <w:link w:val="Title"/>
    <w:uiPriority w:val="10"/>
    <w:rsid w:val="000D5A7F"/>
    <w:rPr>
      <w:rFonts w:ascii="Manrope ExtraBold" w:cstheme="majorBidi" w:eastAsiaTheme="majorEastAsia" w:hAnsi="Manrope ExtraBold"/>
      <w:color w:themeColor="background1" w:val="FFFFFF"/>
      <w:spacing w:val="-10"/>
      <w:kern w:val="28"/>
      <w:sz w:val="56"/>
      <w:szCs w:val="56"/>
      <w:lang w:val="fr"/>
    </w:rPr>
  </w:style>
  <w:style w:styleId="Subtitle" w:type="paragraph">
    <w:name w:val="Subtitle"/>
    <w:basedOn w:val="Normal"/>
    <w:next w:val="BodyText"/>
    <w:link w:val="SubtitleChar"/>
    <w:uiPriority w:val="11"/>
    <w:qFormat/>
    <w:rsid w:val="000D5A7F"/>
    <w:pPr>
      <w:numPr>
        <w:ilvl w:val="1"/>
      </w:numPr>
    </w:pPr>
    <w:rPr>
      <w:rFonts w:ascii="Manrope ExtraBold" w:cstheme="majorBidi" w:eastAsiaTheme="majorEastAsia" w:hAnsi="Manrope ExtraBold"/>
      <w:color w:themeColor="background1" w:val="FFFFFF"/>
      <w:spacing w:val="15"/>
      <w:sz w:val="28"/>
      <w:szCs w:val="28"/>
    </w:rPr>
  </w:style>
  <w:style w:customStyle="1" w:styleId="SubtitleChar" w:type="character">
    <w:name w:val="Subtitle Char"/>
    <w:basedOn w:val="DefaultParagraphFont"/>
    <w:link w:val="Subtitle"/>
    <w:uiPriority w:val="11"/>
    <w:rsid w:val="000D5A7F"/>
    <w:rPr>
      <w:rFonts w:ascii="Manrope ExtraBold" w:cstheme="majorBidi" w:eastAsiaTheme="majorEastAsia" w:hAnsi="Manrope ExtraBold"/>
      <w:color w:themeColor="background1" w:val="FFFFFF"/>
      <w:spacing w:val="15"/>
      <w:sz w:val="28"/>
      <w:szCs w:val="28"/>
    </w:rPr>
  </w:style>
  <w:style w:customStyle="1" w:styleId="Author" w:type="paragraph">
    <w:name w:val="Author"/>
    <w:next w:val="BodyText"/>
    <w:qFormat/>
    <w:rsid w:val="000D5A7F"/>
    <w:pPr>
      <w:keepNext/>
      <w:keepLines/>
      <w:spacing w:before="1680"/>
      <w:jc w:val="center"/>
    </w:pPr>
    <w:rPr>
      <w:rFonts w:ascii="Manrope" w:hAnsi="Manrope"/>
      <w:b/>
      <w:color w:themeColor="background1" w:val="FFFFFF"/>
    </w:rPr>
  </w:style>
  <w:style w:styleId="Date" w:type="paragraph">
    <w:name w:val="Date"/>
    <w:next w:val="BodyText"/>
    <w:autoRedefine/>
    <w:qFormat/>
    <w:rsid w:val="000D5A7F"/>
    <w:pPr>
      <w:keepNext/>
      <w:keepLines/>
      <w:framePr w:hAnchor="text" w:vAnchor="text" w:wrap="notBeside" w:y="1"/>
      <w:jc w:val="center"/>
    </w:pPr>
    <w:rPr>
      <w:rFonts w:ascii="Manrope" w:hAnsi="Manrope"/>
      <w:color w:themeColor="background1" w:val="FFFFFF"/>
    </w:r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CB6785"/>
    <w:rPr>
      <w:rFonts w:ascii="Poppins" w:cstheme="majorBidi" w:eastAsiaTheme="majorEastAsia" w:hAnsi="Poppins"/>
      <w:b/>
      <w:color w:val="006476"/>
      <w:sz w:val="36"/>
      <w:szCs w:val="32"/>
    </w:rPr>
  </w:style>
  <w:style w:customStyle="1" w:styleId="Heading3Char" w:type="character">
    <w:name w:val="Heading 3 Char"/>
    <w:basedOn w:val="DefaultParagraphFont"/>
    <w:link w:val="Heading3"/>
    <w:uiPriority w:val="9"/>
    <w:semiHidden/>
    <w:rsid w:val="00CB6785"/>
    <w:rPr>
      <w:rFonts w:ascii="Poppins" w:cstheme="majorBidi" w:eastAsiaTheme="majorEastAsia" w:hAnsi="Poppins"/>
      <w:b/>
      <w:color w:val="28A87D"/>
      <w:sz w:val="28"/>
      <w:szCs w:val="28"/>
    </w:rPr>
  </w:style>
  <w:style w:customStyle="1" w:styleId="Heading4Char" w:type="character">
    <w:name w:val="Heading 4 Char"/>
    <w:basedOn w:val="DefaultParagraphFont"/>
    <w:link w:val="Heading4"/>
    <w:uiPriority w:val="9"/>
    <w:semiHidden/>
    <w:rsid w:val="00CB6785"/>
    <w:rPr>
      <w:rFonts w:ascii="Poppins" w:cstheme="majorBidi" w:eastAsiaTheme="majorEastAsia" w:hAnsi="Poppins"/>
      <w:iCs/>
      <w:color w:val="008B8B"/>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8C4DAE"/>
    <w:rPr>
      <w:rFonts w:ascii="Poppins" w:hAnsi="Poppins"/>
      <w:color w:themeColor="accent1" w:val="156082"/>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084B87"/>
    <w:rPr>
      <w:color w:val="FF0000"/>
    </w:rPr>
  </w:style>
  <w:style w:styleId="TOCHeading" w:type="paragraph">
    <w:name w:val="TOC Heading"/>
    <w:basedOn w:val="Heading1"/>
    <w:next w:val="BodyText"/>
    <w:uiPriority w:val="39"/>
    <w:unhideWhenUsed/>
    <w:qFormat/>
    <w:rsid w:val="00084B87"/>
    <w:pPr>
      <w:pageBreakBefore/>
      <w:spacing w:after="240" w:before="240" w:line="259" w:lineRule="auto"/>
      <w:outlineLvl w:val="9"/>
    </w:pPr>
    <w:rPr>
      <w:rFonts w:ascii="Spline Sans" w:hAnsi="Spline Sans"/>
      <w:color w:val="003399"/>
    </w:r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styleId="TOC2" w:type="paragraph">
    <w:name w:val="toc 2"/>
    <w:basedOn w:val="Normal"/>
    <w:next w:val="Normal"/>
    <w:autoRedefine/>
    <w:uiPriority w:val="39"/>
    <w:rsid w:val="00084B87"/>
    <w:pPr>
      <w:spacing w:after="100"/>
      <w:ind w:left="240"/>
    </w:pPr>
  </w:style>
  <w:style w:styleId="TOC3" w:type="paragraph">
    <w:name w:val="toc 3"/>
    <w:basedOn w:val="Normal"/>
    <w:next w:val="Normal"/>
    <w:autoRedefine/>
    <w:uiPriority w:val="39"/>
    <w:rsid w:val="00084B87"/>
    <w:pPr>
      <w:spacing w:after="100"/>
      <w:ind w:left="480"/>
    </w:pPr>
  </w:style>
  <w:style w:styleId="UnresolvedMention" w:type="character">
    <w:name w:val="Unresolved Mention"/>
    <w:basedOn w:val="DefaultParagraphFont"/>
    <w:uiPriority w:val="99"/>
    <w:semiHidden/>
    <w:unhideWhenUsed/>
    <w:rsid w:val="000D5A7F"/>
    <w:rPr>
      <w:color w:val="605E5C"/>
      <w:shd w:color="auto" w:fill="E1DFDD"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95" Target="media/rId95.png" /><Relationship Type="http://schemas.openxmlformats.org/officeDocument/2006/relationships/image" Id="rId41" Target="media/rId41.png" /><Relationship Type="http://schemas.openxmlformats.org/officeDocument/2006/relationships/image" Id="rId117" Target="media/rId117.png" /><Relationship Type="http://schemas.openxmlformats.org/officeDocument/2006/relationships/image" Id="rId138" Target="media/rId138.png" /><Relationship Type="http://schemas.openxmlformats.org/officeDocument/2006/relationships/image" Id="rId32" Target="media/rId32.png" /><Relationship Type="http://schemas.openxmlformats.org/officeDocument/2006/relationships/image" Id="rId112" Target="media/rId112.png" /><Relationship Type="http://schemas.openxmlformats.org/officeDocument/2006/relationships/image" Id="rId144" Target="media/rId144.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108" Target="media/rId108.png" /><Relationship Type="http://schemas.openxmlformats.org/officeDocument/2006/relationships/image" Id="rId149" Target="media/rId149.png" /><Relationship Type="http://schemas.openxmlformats.org/officeDocument/2006/relationships/image" Id="rId125" Target="media/rId125.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1" Target="media/rId121.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hyperlink" Id="rId168" Target="mailto:mboussou@who.int" TargetMode="External" /></Relationships>
</file>

<file path=word/_rels/footnotes.xml.rels><?xml version="1.0" encoding="UTF-8"?><Relationships xmlns="http://schemas.openxmlformats.org/package/2006/relationships"><Relationship Type="http://schemas.openxmlformats.org/officeDocument/2006/relationships/hyperlink" Id="rId168" Target="mailto:mboussou@who.i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TotalTime>
  <Pages>34</Pages>
  <Words>2005</Words>
  <Characters>11432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Bulletin mensuel sur la vaccination et la surveillance des maladies évitables par la vaccination en Afrique Centrale</vt:lpstr>
    </vt:vector>
  </TitlesOfParts>
  <Company/>
  <LinksUpToDate>false</LinksUpToDate>
  <CharactersWithSpaces>13411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Bulletin mensuel sur la vaccination et la surveillance des maladies à prévention vaccinale en Afrique centrale</dc:title>
  <dc:creator>Équipe d’Appui Technique Interpays du Bloc Centre</dc:creator>
  <dc:language>fr</dc:language>
  <cp:keywords/>
  <dcterms:created xsi:type="dcterms:W3CDTF">2024-09-08T13:54:42Z</dcterms:created>
  <dcterms:modified xsi:type="dcterms:W3CDTF">2024-09-08T13:54:42Z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rossref">
    <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knitr">
    <vt:lpwstr/>
  </property>
  <property fmtid="{D5CDD505-2E9C-101B-9397-08002B2CF9AE}" pid="12" name="labels">
    <vt:lpwstr/>
  </property>
  <property fmtid="{D5CDD505-2E9C-101B-9397-08002B2CF9AE}" pid="13" name="language">
    <vt:lpwstr/>
  </property>
  <property fmtid="{D5CDD505-2E9C-101B-9397-08002B2CF9AE}" pid="14" name="subtitle">
    <vt:lpwstr>Mois de Juillet 2024</vt:lpwstr>
  </property>
  <property fmtid="{D5CDD505-2E9C-101B-9397-08002B2CF9AE}" pid="15" name="toc-title">
    <vt:lpwstr>Sommaire</vt:lpwstr>
  </property>
</Properties>
</file>